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r>
    </w:p>
    <w:p>
      <w:pPr>
        <w:spacing w:before="0" w:after="0" w:line="276"/>
        <w:jc w:val="center"/>
      </w:pPr>
      <w:r>
        <w:rPr>
          <w:rFonts w:ascii="Georgia" w:cs="Georgia" w:eastAsia="Georgia" w:hAnsi="Georgia"/>
          <w:color w:val="B8860B"/>
          <w:sz w:val="48"/>
          <w:szCs w:val="48"/>
        </w:rPr>
        <w:t xml:space="preserve">❧</w:t>
      </w:r>
    </w:p>
    <w:p>
      <w:r>
        <w:br/>
      </w:r>
    </w:p>
    <w:p>
      <w:pPr>
        <w:spacing w:before="80" w:after="80" w:line="276"/>
        <w:jc w:val="center"/>
      </w:pPr>
      <w:r>
        <w:rPr>
          <w:rFonts w:ascii="Georgia" w:cs="Georgia" w:eastAsia="Georgia" w:hAnsi="Georgia"/>
          <w:b/>
          <w:bCs/>
          <w:color w:val="B8860B"/>
          <w:sz w:val="72"/>
          <w:szCs w:val="72"/>
        </w:rPr>
        <w:t xml:space="preserve">YELDEN</w:t>
      </w:r>
    </w:p>
    <w:p>
      <w:pPr>
        <w:spacing w:before="0" w:after="80" w:line="276"/>
        <w:jc w:val="center"/>
      </w:pPr>
      <w:r>
        <w:rPr>
          <w:rFonts w:ascii="Georgia" w:cs="Georgia" w:eastAsia="Georgia" w:hAnsi="Georgia"/>
          <w:i/>
          <w:iCs/>
          <w:color w:val="555555"/>
          <w:sz w:val="28"/>
          <w:szCs w:val="28"/>
        </w:rPr>
        <w:t xml:space="preserve">Golden Yield for Everyone</w:t>
      </w:r>
    </w:p>
    <w:p>
      <w:r>
        <w:br/>
      </w:r>
    </w:p>
    <w:p>
      <w:pPr>
        <w:spacing w:before="40" w:after="40" w:line="276"/>
        <w:jc w:val="center"/>
      </w:pPr>
      <w:r>
        <w:rPr>
          <w:rFonts w:ascii="Arial" w:cs="Arial" w:eastAsia="Arial" w:hAnsi="Arial"/>
          <w:color w:val="555555"/>
          <w:sz w:val="20"/>
          <w:szCs w:val="20"/>
        </w:rPr>
        <w:t xml:space="preserve">Real-world asset yield · Scalable tiered UBI · ZK privacy · AI agent economy · Community sub-vaults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CC" w:sz="1"/>
              <w:left w:val="single" w:color="DDDDCC" w:sz="1"/>
              <w:bottom w:val="single" w:color="DDDDCC" w:sz="1"/>
              <w:right w:val="single" w:color="DDDD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Supply</w:t>
            </w:r>
          </w:p>
        </w:tc>
        <w:tc>
          <w:tcPr>
            <w:tcW w:type="dxa" w:w="1872"/>
            <w:tcBorders>
              <w:top w:val="single" w:color="DDDDCC" w:sz="1"/>
              <w:left w:val="single" w:color="DDDDCC" w:sz="1"/>
              <w:bottom w:val="single" w:color="DDDDCC" w:sz="1"/>
              <w:right w:val="single" w:color="DDDD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RWA Market</w:t>
            </w:r>
          </w:p>
        </w:tc>
        <w:tc>
          <w:tcPr>
            <w:tcW w:type="dxa" w:w="1872"/>
            <w:tcBorders>
              <w:top w:val="single" w:color="DDDDCC" w:sz="1"/>
              <w:left w:val="single" w:color="DDDDCC" w:sz="1"/>
              <w:bottom w:val="single" w:color="DDDDCC" w:sz="1"/>
              <w:right w:val="single" w:color="DDDD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72"/>
            <w:tcBorders>
              <w:top w:val="single" w:color="DDDDCC" w:sz="1"/>
              <w:left w:val="single" w:color="DDDDCC" w:sz="1"/>
              <w:bottom w:val="single" w:color="DDDDCC" w:sz="1"/>
              <w:right w:val="single" w:color="DDDD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Target Yield</w:t>
            </w:r>
          </w:p>
        </w:tc>
        <w:tc>
          <w:tcPr>
            <w:tcW w:type="dxa" w:w="1872"/>
            <w:tcBorders>
              <w:top w:val="single" w:color="DDDDCC" w:sz="1"/>
              <w:left w:val="single" w:color="DDDDCC" w:sz="1"/>
              <w:bottom w:val="single" w:color="DDDDCC" w:sz="1"/>
              <w:right w:val="single" w:color="DDDD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Launch</w:t>
            </w:r>
          </w:p>
        </w:tc>
      </w:tr>
      <w:tr>
        <w:tc>
          <w:tcPr>
            <w:tcW w:type="dxa" w:w="1872"/>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1,000,000,000 YLD</w:t>
            </w:r>
          </w:p>
        </w:tc>
        <w:tc>
          <w:tcPr>
            <w:tcW w:type="dxa" w:w="1872"/>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$36B+ on-chain</w:t>
            </w:r>
          </w:p>
        </w:tc>
        <w:tc>
          <w:tcPr>
            <w:tcW w:type="dxa" w:w="1872"/>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yUSD + $YLD dual token</w:t>
            </w:r>
          </w:p>
        </w:tc>
        <w:tc>
          <w:tcPr>
            <w:tcW w:type="dxa" w:w="1872"/>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7–10% p.a.</w:t>
            </w:r>
          </w:p>
        </w:tc>
        <w:tc>
          <w:tcPr>
            <w:tcW w:type="dxa" w:w="1872"/>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 Q3–Q4</w:t>
            </w:r>
          </w:p>
        </w:tc>
      </w:tr>
    </w:tbl>
    <w:p>
      <w:r>
        <w:br/>
      </w:r>
    </w:p>
    <w:p>
      <w:pPr>
        <w:spacing w:before="80" w:after="40" w:line="276"/>
        <w:jc w:val="center"/>
      </w:pPr>
      <w:r>
        <w:rPr>
          <w:rFonts w:ascii="Arial" w:cs="Arial" w:eastAsia="Arial" w:hAnsi="Arial"/>
          <w:color w:val="555555"/>
          <w:sz w:val="18"/>
          <w:szCs w:val="18"/>
        </w:rPr>
        <w:t xml:space="preserve">Technical Whitepaper · Version 14.0 · February 2026</w:t>
      </w:r>
    </w:p>
    <w:p>
      <w:pPr>
        <w:spacing w:before="0" w:after="40" w:line="276"/>
        <w:jc w:val="center"/>
      </w:pPr>
      <w:r>
        <w:rPr>
          <w:rFonts w:ascii="Arial" w:cs="Arial" w:eastAsia="Arial" w:hAnsi="Arial"/>
          <w:i/>
          <w:iCs/>
          <w:color w:val="555555"/>
          <w:sz w:val="18"/>
          <w:szCs w:val="18"/>
        </w:rPr>
        <w:t xml:space="preserve">github.com/plongen/yelden-protocol · Not investment advice · Not a securities offering</w:t>
      </w:r>
    </w:p>
    <w:p>
      <w:r>
        <w:br/>
      </w:r>
    </w:p>
    <w:p>
      <w:pPr>
        <w:pStyle w:val="Heading1"/>
        <w:spacing w:before="480" w:after="160" w:line="276"/>
      </w:pPr>
      <w:r>
        <w:rPr>
          <w:rFonts w:ascii="Georgia" w:cs="Georgia" w:eastAsia="Georgia" w:hAnsi="Georgia"/>
          <w:b/>
          <w:bCs/>
          <w:color w:val="B8860B"/>
          <w:sz w:val="40"/>
          <w:szCs w:val="40"/>
        </w:rPr>
        <w:t xml:space="preserve">00  Executive Summary</w:t>
      </w:r>
    </w:p>
    <w:p>
      <w:pPr>
        <w:spacing w:before="60" w:after="120" w:line="276"/>
        <w:jc w:val="both"/>
      </w:pPr>
      <w:r>
        <w:rPr>
          <w:rFonts w:ascii="Arial" w:cs="Arial" w:eastAsia="Arial" w:hAnsi="Arial"/>
          <w:b w:val="false"/>
          <w:bCs w:val="false"/>
          <w:i w:val="false"/>
          <w:iCs w:val="false"/>
          <w:color w:val="1A1A2E"/>
          <w:sz w:val="22"/>
          <w:szCs w:val="22"/>
        </w:rPr>
        <w:t xml:space="preserve">The tokenized RWA market reached $36B+ on-chain by late 2025 — 380% growth in three years. BlackRock BUIDL ($2.9B), Franklin Templeton BENJI, and JPMorgan's Tokenized Collateral Network confirm mainstream institutional adoption. BCG projects $16T by 2030. The infrastructure is ready. What does not exist is a protocol that makes this universally accessible — and automatically distributes its benefits.</w:t>
      </w:r>
    </w:p>
    <w:p>
      <w:pPr>
        <w:spacing w:before="60" w:after="120" w:line="276"/>
        <w:jc w:val="both"/>
      </w:pPr>
      <w:r>
        <w:rPr>
          <w:rFonts w:ascii="Arial" w:cs="Arial" w:eastAsia="Arial" w:hAnsi="Arial"/>
          <w:b w:val="false"/>
          <w:bCs w:val="false"/>
          <w:i w:val="false"/>
          <w:iCs w:val="false"/>
          <w:color w:val="1A1A2E"/>
          <w:sz w:val="22"/>
          <w:szCs w:val="22"/>
        </w:rPr>
        <w:t xml:space="preserve">Yelden is that protocol. Named after the yield gardens — stable, abundant, and essential to life — Yelden embodies the same properties in finance: stable yield from real assets, private by design, and accessible to all.</w:t>
      </w:r>
    </w:p>
    <w:p>
      <w:pPr>
        <w:spacing w:before="60" w:after="120" w:line="276"/>
        <w:jc w:val="both"/>
      </w:pPr>
      <w:r>
        <w:rPr>
          <w:rFonts w:ascii="Arial" w:cs="Arial" w:eastAsia="Arial" w:hAnsi="Arial"/>
          <w:b w:val="false"/>
          <w:bCs w:val="false"/>
          <w:i w:val="false"/>
          <w:iCs w:val="false"/>
          <w:color w:val="1A1A2E"/>
          <w:sz w:val="22"/>
          <w:szCs w:val="22"/>
        </w:rPr>
        <w:t xml:space="preserve">Unlike Ondo (institutional-only), Worldcoin (biometric identity), or GoodDollar (donation-dependent UBI), Yelden combines regulated RWA yield + scalable tiered UBI + anonymous ZK contribution bonuses + community sub-vaults + on-chain AI agent economy into one coherent, self-sustaining architecture. 100% real cash flow. Zero inflationary minting. Open to anyone globally.</w:t>
      </w:r>
    </w:p>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v14.0 revision note: This version reconciles the original vision with current implementation reality. Every architectural claim is grounded in deployed or formally verified code. What is live, what is in progress, and what is planned are explicitly labeled throughout.</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01  The Vision: Why Yelden Exists</w:t>
      </w:r>
    </w:p>
    <w:p>
      <w:pPr>
        <w:spacing w:before="60" w:after="120" w:line="276"/>
        <w:jc w:val="both"/>
      </w:pPr>
      <w:r>
        <w:rPr>
          <w:rFonts w:ascii="Arial" w:cs="Arial" w:eastAsia="Arial" w:hAnsi="Arial"/>
          <w:b w:val="false"/>
          <w:bCs w:val="false"/>
          <w:i w:val="false"/>
          <w:iCs w:val="false"/>
          <w:color w:val="1A1A2E"/>
          <w:sz w:val="22"/>
          <w:szCs w:val="22"/>
        </w:rPr>
        <w:t xml:space="preserve">Global equity indices have returned 7–10% per year above inflation for decades. Tokenized RWAs grew 380% in three years to $36B+ on-chain by late 2025. Institutional titans have validated the asset class. The infrastructure is mature. The access is not.</w:t>
      </w:r>
    </w:p>
    <w:p>
      <w:pPr>
        <w:spacing w:before="60" w:after="120" w:line="276"/>
        <w:jc w:val="both"/>
      </w:pPr>
      <w:r>
        <w:rPr>
          <w:rFonts w:ascii="Arial" w:cs="Arial" w:eastAsia="Arial" w:hAnsi="Arial"/>
          <w:b w:val="false"/>
          <w:bCs w:val="false"/>
          <w:i w:val="false"/>
          <w:iCs w:val="false"/>
          <w:color w:val="1A1A2E"/>
          <w:sz w:val="22"/>
          <w:szCs w:val="22"/>
        </w:rPr>
        <w:t xml:space="preserve">3.5 billion adults have no access to brokerage accounts. The top 10% hold 76% of all financial assets. Yelden builds the distribution layer — open to anyone who deposits stablecoins. No brokers. No KYC. No borders. No minimum.</w:t>
      </w:r>
    </w:p>
    <w:p>
      <w:pPr>
        <w:spacing w:before="60" w:after="120" w:line="276"/>
        <w:jc w:val="both"/>
      </w:pPr>
      <w:r>
        <w:rPr>
          <w:rFonts w:ascii="Arial" w:cs="Arial" w:eastAsia="Arial" w:hAnsi="Arial"/>
          <w:b w:val="false"/>
          <w:bCs w:val="false"/>
          <w:i w:val="false"/>
          <w:iCs w:val="false"/>
          <w:color w:val="1A1A2E"/>
          <w:sz w:val="22"/>
          <w:szCs w:val="22"/>
        </w:rPr>
        <w:t xml:space="preserve">Yelden is not another stablecoin or speculative token. It is economic infrastructure — a wealth participation layer built directly on top of real, productive markets. The golden garden is open to everyone who plants in it: humans, developers, and for the first time in DeFi history, autonomous AI agents.</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02  The Problem: Five Unresolved Failures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 Impact</w:t>
            </w:r>
          </w:p>
        </w:tc>
        <w:tc>
          <w:tcPr>
            <w:tcW w:type="dxa" w:w="41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Yelden Solution</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 access requires brokers &amp; KYC</w:t>
            </w:r>
          </w:p>
        </w:tc>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3.5B adults excluded</w:t>
            </w:r>
          </w:p>
        </w:tc>
        <w:tc>
          <w:tcPr>
            <w:tcW w:type="dxa" w:w="41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USDC deposit, no intermediary</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Returns concentrated among holders</w:t>
            </w:r>
          </w:p>
        </w:tc>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Top 10% hold 76% of assets</w:t>
            </w:r>
          </w:p>
        </w:tc>
        <w:tc>
          <w:tcPr>
            <w:tcW w:type="dxa" w:w="41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Tiered UBI from real cash flow</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 tokens without real backing</w:t>
            </w:r>
          </w:p>
        </w:tc>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LUNA, FTX, countless losses</w:t>
            </w:r>
          </w:p>
        </w:tc>
        <w:tc>
          <w:tcPr>
            <w:tcW w:type="dxa" w:w="41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 backed by regulated RWAs</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AI agents excluded from DeFi economy</w:t>
            </w:r>
          </w:p>
        </w:tc>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No protocol integrates them</w:t>
            </w:r>
          </w:p>
        </w:tc>
        <w:tc>
          <w:tcPr>
            <w:tcW w:type="dxa" w:w="41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First AI Agent UBI in DeFi</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$36B RWA market, 95% institutional</w:t>
            </w:r>
          </w:p>
        </w:tc>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Retail locked out entirely</w:t>
            </w:r>
          </w:p>
        </w:tc>
        <w:tc>
          <w:tcPr>
            <w:tcW w:type="dxa" w:w="41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Fractional, global, 24/7, no minimum</w:t>
            </w:r>
          </w:p>
        </w:tc>
      </w:tr>
    </w:tbl>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03  Competitive Landscape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They Miss</w:t>
            </w:r>
          </w:p>
        </w:tc>
        <w:tc>
          <w:tcPr>
            <w:tcW w:type="dxa" w:w="2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Yelden Relationship</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Ondo Finance</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Institutional RWA tokenization</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UBI, zero retail inclusion</w:t>
            </w:r>
          </w:p>
        </w:tc>
        <w:tc>
          <w:tcPr>
            <w:tcW w:type="dxa" w:w="2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Basket provider — Yelden distributes what Ondo cannot</w:t>
            </w:r>
          </w:p>
        </w:tc>
      </w:tr>
      <w:tr>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Worldcoin</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Biometric identity UBI</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Privacy nightmare, no yield, no RWA</w:t>
            </w:r>
          </w:p>
        </w:tc>
        <w:tc>
          <w:tcPr>
            <w:tcW w:type="dxa" w:w="2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ZK proofs replace biometrics entirely</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GoodDollar</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Donation-based UBI</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Fragile — depends on donations</w:t>
            </w:r>
          </w:p>
        </w:tc>
        <w:tc>
          <w:tcPr>
            <w:tcW w:type="dxa" w:w="2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Yelden UBI is self-sustaining from real yield</w:t>
            </w:r>
          </w:p>
        </w:tc>
      </w:tr>
      <w:tr>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Celo</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Mobile DeFi access</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Limited yield, no RWA, no UBI tiers</w:t>
            </w:r>
          </w:p>
        </w:tc>
        <w:tc>
          <w:tcPr>
            <w:tcW w:type="dxa" w:w="2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Yelden adds productive yield and structured distribution</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ERC-8004 / Agent registries</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agent identity on-chain</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economic accountability layer</w:t>
            </w:r>
          </w:p>
        </w:tc>
        <w:tc>
          <w:tcPr>
            <w:tcW w:type="dxa" w:w="2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Yelden AIAgentRegistry is the reference implementation</w:t>
            </w:r>
          </w:p>
        </w:tc>
      </w:tr>
    </w:tbl>
    <w:p>
      <w:r>
        <w:br/>
      </w:r>
    </w:p>
    <w:p>
      <w:pPr>
        <w:spacing w:before="60" w:after="120" w:line="276"/>
        <w:jc w:val="both"/>
      </w:pPr>
      <w:r>
        <w:rPr>
          <w:rFonts w:ascii="Arial" w:cs="Arial" w:eastAsia="Arial" w:hAnsi="Arial"/>
          <w:b w:val="false"/>
          <w:bCs w:val="false"/>
          <w:i w:val="false"/>
          <w:iCs w:val="false"/>
          <w:color w:val="1A1A2E"/>
          <w:sz w:val="22"/>
          <w:szCs w:val="22"/>
        </w:rPr>
        <w:t xml:space="preserve">Yelden's unique position: six pillars no competitor combines — (1) regulated RWA yield basket, (2) scalable tiered UBI, (3) ZK-private contributions, (4) community sub-vaults, (5) automatic carbon offset, (6) on-chain AI agent economy with economic accountability.</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04  Dual Token Architecture: yUSD + $YLD</w:t>
      </w:r>
    </w:p>
    <w:p>
      <w:pPr>
        <w:spacing w:before="60" w:after="120" w:line="276"/>
        <w:jc w:val="both"/>
      </w:pPr>
      <w:r>
        <w:rPr>
          <w:rFonts w:ascii="Arial" w:cs="Arial" w:eastAsia="Arial" w:hAnsi="Arial"/>
          <w:b w:val="false"/>
          <w:bCs w:val="false"/>
          <w:i w:val="false"/>
          <w:iCs w:val="false"/>
          <w:color w:val="1A1A2E"/>
          <w:sz w:val="22"/>
          <w:szCs w:val="22"/>
        </w:rPr>
        <w:t xml:space="preserve">Two distinct, complementary layers. This separation eliminates the circularity trap that destroys most DeFi projects: $YLD's value derives from real protocol cash flow, not from speculation on the token itself.</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CC" w:sz="1"/>
              <w:left w:val="single" w:color="DDDDCC" w:sz="1"/>
              <w:bottom w:val="single" w:color="DDDDCC" w:sz="1"/>
              <w:right w:val="single" w:color="DDDDCC" w:sz="1"/>
            </w:tcBorders>
            <w:shd w:fill="E8F0FA" w:val="clear"/>
            <w:tcMar>
              <w:top w:type="dxa" w:w="120"/>
              <w:left w:type="dxa" w:w="160"/>
              <w:bottom w:type="dxa" w:w="120"/>
              <w:right w:type="dxa" w:w="160"/>
            </w:tcMar>
          </w:tcPr>
          <w:p>
            <w:pPr>
              <w:spacing w:before="0" w:after="80" w:line="276"/>
            </w:pPr>
            <w:r>
              <w:rPr>
                <w:rFonts w:ascii="Arial" w:cs="Arial" w:eastAsia="Arial" w:hAnsi="Arial"/>
                <w:b/>
                <w:bCs/>
                <w:color w:val="1A3A5C"/>
                <w:sz w:val="24"/>
                <w:szCs w:val="24"/>
              </w:rPr>
              <w:t xml:space="preserve">yUSD — Stable Deposit Unit</w:t>
            </w:r>
          </w:p>
          <w:p>
            <w:pPr>
              <w:spacing w:before="40" w:after="40" w:line="276"/>
            </w:pPr>
            <w:r>
              <w:rPr>
                <w:rFonts w:ascii="Arial" w:cs="Arial" w:eastAsia="Arial" w:hAnsi="Arial"/>
                <w:color w:val="1A1A2E"/>
                <w:sz w:val="20"/>
                <w:szCs w:val="20"/>
              </w:rPr>
              <w:t xml:space="preserve">Non-speculative deposit receipt — stable, predictable, redeemable on demand.</w:t>
            </w:r>
          </w:p>
          <w:p>
            <w:pPr>
              <w:spacing w:before="40" w:after="40" w:line="276"/>
            </w:pPr>
            <w:r>
              <w:rPr>
                <w:rFonts w:ascii="Arial" w:cs="Arial" w:eastAsia="Arial" w:hAnsi="Arial"/>
                <w:color w:val="1A1A2E"/>
                <w:sz w:val="20"/>
                <w:szCs w:val="20"/>
              </w:rPr>
              <w:t xml:space="preserve">Base yield 4–5% p.a. distributed automatically to yUSD holders.</w:t>
            </w:r>
          </w:p>
          <w:p>
            <w:pPr>
              <w:spacing w:before="40" w:after="40" w:line="276"/>
            </w:pPr>
            <w:r>
              <w:rPr>
                <w:rFonts w:ascii="Arial" w:cs="Arial" w:eastAsia="Arial" w:hAnsi="Arial"/>
                <w:color w:val="1A1A2E"/>
                <w:sz w:val="20"/>
                <w:szCs w:val="20"/>
              </w:rPr>
              <w:t xml:space="preserve">Gradual redemption: 3–7 day windows protect against bank-run scenarios.</w:t>
            </w:r>
          </w:p>
          <w:p>
            <w:pPr>
              <w:spacing w:before="40" w:after="40" w:line="276"/>
            </w:pPr>
            <w:r>
              <w:rPr>
                <w:rFonts w:ascii="Arial" w:cs="Arial" w:eastAsia="Arial" w:hAnsi="Arial"/>
                <w:color w:val="1A1A2E"/>
                <w:sz w:val="20"/>
                <w:szCs w:val="20"/>
              </w:rPr>
              <w:t xml:space="preserve">10% of vault maintained in liquid USDC for immediate partial redemptions.</w:t>
            </w:r>
          </w:p>
        </w:tc>
        <w:tc>
          <w:tcPr>
            <w:tcW w:type="dxa" w:w="4800"/>
            <w:tcBorders>
              <w:top w:val="single" w:color="DDDDCC" w:sz="1"/>
              <w:left w:val="single" w:color="DDDDCC" w:sz="1"/>
              <w:bottom w:val="single" w:color="DDDDCC" w:sz="1"/>
              <w:right w:val="single" w:color="DDDDCC" w:sz="1"/>
            </w:tcBorders>
            <w:shd w:fill="FFF8E7" w:val="clear"/>
            <w:tcMar>
              <w:top w:type="dxa" w:w="120"/>
              <w:left w:type="dxa" w:w="160"/>
              <w:bottom w:type="dxa" w:w="120"/>
              <w:right w:type="dxa" w:w="160"/>
            </w:tcMar>
          </w:tcPr>
          <w:p>
            <w:pPr>
              <w:spacing w:before="0" w:after="80" w:line="276"/>
            </w:pPr>
            <w:r>
              <w:rPr>
                <w:rFonts w:ascii="Arial" w:cs="Arial" w:eastAsia="Arial" w:hAnsi="Arial"/>
                <w:b/>
                <w:bCs/>
                <w:color w:val="B8860B"/>
                <w:sz w:val="24"/>
                <w:szCs w:val="24"/>
              </w:rPr>
              <w:t xml:space="preserve">$YLD — Governance + Surplus Yield</w:t>
            </w:r>
          </w:p>
          <w:p>
            <w:pPr>
              <w:spacing w:before="40" w:after="40" w:line="276"/>
            </w:pPr>
            <w:r>
              <w:rPr>
                <w:rFonts w:ascii="Arial" w:cs="Arial" w:eastAsia="Arial" w:hAnsi="Arial"/>
                <w:color w:val="1A1A2E"/>
                <w:sz w:val="20"/>
                <w:szCs w:val="20"/>
              </w:rPr>
              <w:t xml:space="preserve">Value from real cash flow — not token speculation. Circular trap eliminated.</w:t>
            </w:r>
          </w:p>
          <w:p>
            <w:pPr>
              <w:spacing w:before="40" w:after="40" w:line="276"/>
            </w:pPr>
            <w:r>
              <w:rPr>
                <w:rFonts w:ascii="Arial" w:cs="Arial" w:eastAsia="Arial" w:hAnsi="Arial"/>
                <w:color w:val="1A1A2E"/>
                <w:sz w:val="20"/>
                <w:szCs w:val="20"/>
              </w:rPr>
              <w:t xml:space="preserve">Governance: holders vote on basket, UBI ratios, sub-vault approvals.</w:t>
            </w:r>
          </w:p>
          <w:p>
            <w:pPr>
              <w:spacing w:before="40" w:after="40" w:line="276"/>
            </w:pPr>
            <w:r>
              <w:rPr>
                <w:rFonts w:ascii="Arial" w:cs="Arial" w:eastAsia="Arial" w:hAnsi="Arial"/>
                <w:color w:val="1A1A2E"/>
                <w:sz w:val="20"/>
                <w:szCs w:val="20"/>
              </w:rPr>
              <w:t xml:space="preserve">Larger TVL = larger revenue = larger $YLD yield. Total incentive alignment.</w:t>
            </w:r>
          </w:p>
          <w:p>
            <w:pPr>
              <w:spacing w:before="40" w:after="40" w:line="276"/>
            </w:pPr>
            <w:r>
              <w:rPr>
                <w:rFonts w:ascii="Arial" w:cs="Arial" w:eastAsia="Arial" w:hAnsi="Arial"/>
                <w:color w:val="1A1A2E"/>
                <w:sz w:val="20"/>
                <w:szCs w:val="20"/>
              </w:rPr>
              <w:t xml:space="preserve">Fixed 1,000,000,000 supply. No future minting. Deflationary via burn mechanics.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yUSD</w:t>
            </w:r>
          </w:p>
        </w:tc>
        <w:tc>
          <w:tcPr>
            <w:tcW w:type="dxa" w:w="358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$YLD</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Function</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Deposit + Base Yield</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Governance + Surplus Yield</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Price</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Stable (1:1 USD)</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Floating (reflects revenue)</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Yield</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 p.a. (base)</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Protocol surplus (variable)</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Supply</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Dynamic (grows with deposits)</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Fixed: 1,000,000,000</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Redemption</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3–7 days (orderly)</w:t>
            </w:r>
          </w:p>
        </w:tc>
        <w:tc>
          <w:tcPr>
            <w:tcW w:type="dxa" w:w="3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Secondary market (DEXs)</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Risk</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Low (regulated RWAs)</w:t>
            </w:r>
          </w:p>
        </w:tc>
        <w:tc>
          <w:tcPr>
            <w:tcW w:type="dxa" w:w="3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Medium (revenue-dependent)</w:t>
            </w:r>
          </w:p>
        </w:tc>
      </w:tr>
    </w:tbl>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05  $YLD Tokenomics: Reconciled Design</w:t>
      </w:r>
    </w:p>
    <w:p>
      <w:pPr>
        <w:spacing w:before="60" w:after="120" w:line="276"/>
        <w:jc w:val="both"/>
      </w:pPr>
      <w:r>
        <w:rPr>
          <w:rFonts w:ascii="Arial" w:cs="Arial" w:eastAsia="Arial" w:hAnsi="Arial"/>
          <w:b w:val="false"/>
          <w:bCs w:val="false"/>
          <w:i w:val="false"/>
          <w:iCs w:val="false"/>
          <w:color w:val="1A1A2E"/>
          <w:sz w:val="22"/>
          <w:szCs w:val="22"/>
        </w:rPr>
        <w:t xml:space="preserve">The original whitepaper described $YLD as both a governance token (receiving vault surplus) and a stake token (used in the AI Agent Registry with burn mechanics). These are potentially conflicting uses that v14.0 resolves explicitly.</w:t>
      </w:r>
    </w:p>
    <w:p>
      <w:pPr>
        <w:pStyle w:val="Heading2"/>
        <w:spacing w:before="320" w:after="120" w:line="276"/>
      </w:pPr>
      <w:r>
        <w:rPr>
          <w:rFonts w:ascii="Arial" w:cs="Arial" w:eastAsia="Arial" w:hAnsi="Arial"/>
          <w:b/>
          <w:bCs/>
          <w:color w:val="1A3A5C"/>
          <w:sz w:val="28"/>
          <w:szCs w:val="28"/>
        </w:rPr>
        <w:t xml:space="preserve">5.1  The Dual Role Resolution: YLD + veYLD</w:t>
      </w:r>
    </w:p>
    <w:p>
      <w:pPr>
        <w:spacing w:before="60" w:after="120" w:line="276"/>
        <w:jc w:val="both"/>
      </w:pPr>
      <w:r>
        <w:rPr>
          <w:rFonts w:ascii="Arial" w:cs="Arial" w:eastAsia="Arial" w:hAnsi="Arial"/>
          <w:b w:val="false"/>
          <w:bCs w:val="false"/>
          <w:i w:val="false"/>
          <w:iCs w:val="false"/>
          <w:color w:val="1A1A2E"/>
          <w:sz w:val="22"/>
          <w:szCs w:val="22"/>
        </w:rPr>
        <w:t xml:space="preserve">$YLD serves governance and surplus distribution. veYLD (vote-escrowed YLD) serves as the Registry stake layer. This separation is borrowed from Curve Finance's battle-tested ve-model and eliminates the conflict entirely.</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gridCol w:w="1760"/>
      </w:tblGrid>
      <w:tr>
        <w:trPr>
          <w:tblHeader/>
        </w:trPr>
        <w:tc>
          <w:tcPr>
            <w:tcW w:type="dxa" w:w="1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Obtains</w:t>
            </w:r>
          </w:p>
        </w:tc>
        <w:tc>
          <w:tcPr>
            <w:tcW w:type="dxa" w:w="1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$YLD</w:t>
            </w:r>
          </w:p>
        </w:tc>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Hold → receive vault surplus + vote on governance</w:t>
            </w:r>
          </w:p>
        </w:tc>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Passive yield from real RWA cash flow</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 just hold</w:t>
            </w:r>
          </w:p>
        </w:tc>
      </w:tr>
      <w:tr>
        <w:tc>
          <w:tcPr>
            <w:tcW w:type="dxa" w:w="1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veYLD</w:t>
            </w:r>
          </w:p>
        </w:tc>
        <w:tc>
          <w:tcPr>
            <w:tcW w:type="dxa" w:w="3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Lock $YLD for fixed period → stake in AIAgentRegistry</w:t>
            </w:r>
          </w:p>
        </w:tc>
        <w:tc>
          <w:tcPr>
            <w:tcW w:type="dxa" w:w="3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Boosted yield + AI pool bonuses</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Slash risk if agent misbehaves</w:t>
            </w:r>
          </w:p>
        </w:tc>
      </w:tr>
    </w:tbl>
    <w:p>
      <w:r>
        <w:br/>
      </w:r>
    </w:p>
    <w:p>
      <w:pPr>
        <w:spacing w:before="60" w:after="120" w:line="276"/>
        <w:jc w:val="both"/>
      </w:pPr>
      <w:r>
        <w:rPr>
          <w:rFonts w:ascii="Arial" w:cs="Arial" w:eastAsia="Arial" w:hAnsi="Arial"/>
          <w:b w:val="false"/>
          <w:bCs w:val="false"/>
          <w:i w:val="false"/>
          <w:iCs w:val="false"/>
          <w:color w:val="1A1A2E"/>
          <w:sz w:val="22"/>
          <w:szCs w:val="22"/>
        </w:rPr>
        <w:t xml:space="preserve">A holder who wants passive yield holds $YLD. A developer who wants to deploy an AI agent locks YLD into veYLD for a fixed period, receives a yield multiplier from the AI bonus pool, but risks losing veYLD if slashed. YLD market price benefits from both: passive demand from yield seekers, active demand from agent operators.</w:t>
      </w:r>
    </w:p>
    <w:p>
      <w:pPr>
        <w:pBdr>
          <w:left w:val="single" w:color="B8860B" w:sz="8" w:space="12"/>
        </w:pBdr>
        <w:spacing w:before="60" w:after="60" w:line="276"/>
        <w:ind w:left="480"/>
        <w:jc w:val="both"/>
      </w:pPr>
      <w:r>
        <w:rPr>
          <w:rFonts w:ascii="Arial" w:cs="Arial" w:eastAsia="Arial" w:hAnsi="Arial"/>
          <w:i/>
          <w:iCs/>
          <w:color w:val="555555"/>
          <w:sz w:val="20"/>
          <w:szCs w:val="20"/>
        </w:rPr>
        <w:t xml:space="preserve">veYLD is a Phase 2 feature. Phase 1 MVP uses YLD directly as stake with a simpler lock mechanism. The architecture is designed to upgrade cleanly.</w:t>
      </w:r>
    </w:p>
    <w:p>
      <w:pPr>
        <w:pStyle w:val="Heading2"/>
        <w:spacing w:before="320" w:after="120" w:line="276"/>
      </w:pPr>
      <w:r>
        <w:rPr>
          <w:rFonts w:ascii="Arial" w:cs="Arial" w:eastAsia="Arial" w:hAnsi="Arial"/>
          <w:b/>
          <w:bCs/>
          <w:color w:val="1A3A5C"/>
          <w:sz w:val="28"/>
          <w:szCs w:val="28"/>
        </w:rPr>
        <w:t xml:space="preserve">5.2  Distribution: TVL-Gated Token Release</w:t>
      </w:r>
    </w:p>
    <w:p>
      <w:pPr>
        <w:spacing w:before="60" w:after="120" w:line="276"/>
        <w:jc w:val="both"/>
      </w:pPr>
      <w:r>
        <w:rPr>
          <w:rFonts w:ascii="Arial" w:cs="Arial" w:eastAsia="Arial" w:hAnsi="Arial"/>
          <w:b w:val="false"/>
          <w:bCs w:val="false"/>
          <w:i w:val="false"/>
          <w:iCs w:val="false"/>
          <w:color w:val="1A1A2E"/>
          <w:sz w:val="22"/>
          <w:szCs w:val="22"/>
        </w:rPr>
        <w:t xml:space="preserve">The original 40% immediate DEX liquidity is replaced by a TVL-gated release schedule. This eliminates the launch dump problem and anchors token value to real protocol traction.</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400"/>
        <w:gridCol w:w="3960"/>
      </w:tblGrid>
      <w:tr>
        <w:trPr>
          <w:tblHeader/>
        </w:trPr>
        <w:tc>
          <w:tcPr>
            <w:tcW w:type="dxa" w:w="3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39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Release Condition</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Vault Rewards (depositors)</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300M</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Linear over 4 years, starts at TVL &gt; $1M</w:t>
            </w:r>
          </w:p>
        </w:tc>
      </w:tr>
      <w:tr>
        <w:tc>
          <w:tcPr>
            <w:tcW w:type="dxa" w:w="3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Liquidity — Tranche 1</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1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150M</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Fair launch when TVL &gt; $5M</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Liquidity — Tranche 2</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100M</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Released when TVL &gt; $25M</w:t>
            </w:r>
          </w:p>
        </w:tc>
      </w:tr>
      <w:tr>
        <w:tc>
          <w:tcPr>
            <w:tcW w:type="dxa" w:w="3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Airdrop / Early Adopters</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1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150M</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6mo cliff · 18mo linear · min $100 deposit</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Anchor Investors (Seed)</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100M</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12mo cliff · 24mo linear</w:t>
            </w:r>
          </w:p>
        </w:tc>
      </w:tr>
      <w:tr>
        <w:tc>
          <w:tcPr>
            <w:tcW w:type="dxa" w:w="3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Development &amp; Operations</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100M</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12mo cliff · 48mo linear</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Ecosystem Grants / DevNet</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100M</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DAO-governed disbursement</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No token launches before $5M TVL is demonstrated with real yUSD deposits. Supply only decreases after launch via Registry fee burns, slash burns, and carbon offset burns.</w:t>
      </w:r>
    </w:p>
    <w:p>
      <w:pPr>
        <w:pStyle w:val="Heading2"/>
        <w:spacing w:before="320" w:after="120" w:line="276"/>
      </w:pPr>
      <w:r>
        <w:rPr>
          <w:rFonts w:ascii="Arial" w:cs="Arial" w:eastAsia="Arial" w:hAnsi="Arial"/>
          <w:b/>
          <w:bCs/>
          <w:color w:val="1A3A5C"/>
          <w:sz w:val="28"/>
          <w:szCs w:val="28"/>
        </w:rPr>
        <w:t xml:space="preserve">5.3  Deflationary Mechanics</w:t>
      </w:r>
    </w:p>
    <w:p>
      <w:pPr>
        <w:spacing w:before="60" w:after="120" w:line="276"/>
        <w:jc w:val="both"/>
      </w:pPr>
      <w:r>
        <w:rPr>
          <w:rFonts w:ascii="Arial" w:cs="Arial" w:eastAsia="Arial" w:hAnsi="Arial"/>
          <w:b w:val="false"/>
          <w:bCs w:val="false"/>
          <w:i w:val="false"/>
          <w:iCs w:val="false"/>
          <w:color w:val="1A1A2E"/>
          <w:sz w:val="22"/>
          <w:szCs w:val="22"/>
        </w:rPr>
        <w:t xml:space="preserve">Three independent burn channels reduce supply continuously:</w:t>
      </w:r>
    </w:p>
    <w:p>
      <w:pPr>
        <w:pStyle w:val="ListParagraph"/>
        <w:numPr>
          <w:ilvl w:val="0"/>
          <w:numId w:val="2"/>
        </w:numPr>
        <w:spacing w:before="40" w:after="40" w:line="276"/>
      </w:pPr>
      <w:r>
        <w:rPr>
          <w:rFonts w:ascii="Arial" w:cs="Arial" w:eastAsia="Arial" w:hAnsi="Arial"/>
          <w:color w:val="1A1A2E"/>
          <w:sz w:val="22"/>
          <w:szCs w:val="22"/>
        </w:rPr>
        <w:t xml:space="preserve">Registry monthly fee burns: fee = monthlyFee × (1000 − score) / 1000. Score 1000 pays zero. Score 0 pays full fee monthly. All burned to 0x000...dead.</w:t>
      </w:r>
    </w:p>
    <w:p>
      <w:pPr>
        <w:pStyle w:val="ListParagraph"/>
        <w:numPr>
          <w:ilvl w:val="0"/>
          <w:numId w:val="2"/>
        </w:numPr>
        <w:spacing w:before="40" w:after="40" w:line="276"/>
      </w:pPr>
      <w:r>
        <w:rPr>
          <w:rFonts w:ascii="Arial" w:cs="Arial" w:eastAsia="Arial" w:hAnsi="Arial"/>
          <w:color w:val="1A1A2E"/>
          <w:sz w:val="22"/>
          <w:szCs w:val="22"/>
        </w:rPr>
        <w:t xml:space="preserve">Registry slash burns: WARNING 10%, SUSPENSION 50%, BAN 100% of agent stake burned. Malicious agents subsidize supply contraction.</w:t>
      </w:r>
    </w:p>
    <w:p>
      <w:pPr>
        <w:pStyle w:val="ListParagraph"/>
        <w:numPr>
          <w:ilvl w:val="0"/>
          <w:numId w:val="2"/>
        </w:numPr>
        <w:spacing w:before="40" w:after="40" w:line="276"/>
      </w:pPr>
      <w:r>
        <w:rPr>
          <w:rFonts w:ascii="Arial" w:cs="Arial" w:eastAsia="Arial" w:hAnsi="Arial"/>
          <w:color w:val="1A1A2E"/>
          <w:sz w:val="22"/>
          <w:szCs w:val="22"/>
        </w:rPr>
        <w:t xml:space="preserve">Carbon offset burns: 5% of protocol revenue funds on-chain carbon credit purchases. Each purchase burns a proportional YLD amount. Deflation tied to real CO2 removal.</w:t>
      </w:r>
    </w:p>
    <w:p>
      <w:pPr>
        <w:pStyle w:val="ListParagraph"/>
        <w:numPr>
          <w:ilvl w:val="0"/>
          <w:numId w:val="2"/>
        </w:numPr>
        <w:spacing w:before="40" w:after="40" w:line="276"/>
      </w:pPr>
      <w:r>
        <w:rPr>
          <w:rFonts w:ascii="Arial" w:cs="Arial" w:eastAsia="Arial" w:hAnsi="Arial"/>
          <w:color w:val="1A1A2E"/>
          <w:sz w:val="22"/>
          <w:szCs w:val="22"/>
        </w:rPr>
        <w:t xml:space="preserve">Transaction fee burns: 0.15% on every swap/conversion — 30% of fee goes to buyback-and-burn.</w:t>
      </w:r>
    </w:p>
    <w:p>
      <w:r>
        <w:br/>
      </w:r>
    </w:p>
    <w:p>
      <w:pPr>
        <w:spacing w:before="60" w:after="120" w:line="276"/>
        <w:jc w:val="both"/>
      </w:pPr>
      <w:r>
        <w:rPr>
          <w:rFonts w:ascii="Arial" w:cs="Arial" w:eastAsia="Arial" w:hAnsi="Arial"/>
          <w:b w:val="false"/>
          <w:bCs w:val="false"/>
          <w:i/>
          <w:iCs/>
          <w:color w:val="1A1A2E"/>
          <w:sz w:val="22"/>
          <w:szCs w:val="22"/>
        </w:rPr>
        <w:t xml:space="preserve">All four channels are independent. In a protocol with 1,000 active agents, 10% annual Registry churn, and $100M TVL, the annual burn rate exceeds 2% of circulating supply — before transaction fees or carbon offsets.</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06  The Global RWA Basket</w:t>
      </w:r>
    </w:p>
    <w:p>
      <w:pPr>
        <w:spacing w:before="60" w:after="120" w:line="276"/>
        <w:jc w:val="both"/>
      </w:pPr>
      <w:r>
        <w:rPr>
          <w:rFonts w:ascii="Arial" w:cs="Arial" w:eastAsia="Arial" w:hAnsi="Arial"/>
          <w:b w:val="false"/>
          <w:bCs w:val="false"/>
          <w:i w:val="false"/>
          <w:iCs w:val="false"/>
          <w:color w:val="1A1A2E"/>
          <w:sz w:val="22"/>
          <w:szCs w:val="22"/>
        </w:rPr>
        <w:t xml:space="preserve">100% global, diversified, productive assets with real return history. Quarterly DAO rebalancing. Exclusively via regulated institutional platforms.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400"/>
        <w:gridCol w:w="1760"/>
        <w:gridCol w:w="1800"/>
      </w:tblGrid>
      <w:tr>
        <w:trPr>
          <w:tblHeader/>
        </w:trPr>
        <w:tc>
          <w:tcPr>
            <w:tcW w:type="dxa" w:w="2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Historical Yield</w:t>
            </w:r>
          </w:p>
        </w:tc>
        <w:tc>
          <w:tcPr>
            <w:tcW w:type="dxa" w:w="1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MVP Phase</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MSCI World Index</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Ondo Finance / Backed Finance</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p.a.</w:t>
            </w:r>
          </w:p>
        </w:tc>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MVP</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Nasdaq-100 Global</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Backed Finance / Securitize</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 p.a.</w:t>
            </w:r>
          </w:p>
        </w:tc>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FTSE All-World</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Ondo / Vanguard tokenized</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p.a.</w:t>
            </w:r>
          </w:p>
        </w:tc>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Complementary (T-bills, bonds)</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Centrifuge / Maple Finance</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~6% p.a.</w:t>
            </w:r>
          </w:p>
        </w:tc>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3</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MVP launches with Ondo Finance integration only (MSCI World / USDY). Full four-asset basket is Phase 2 after the core vault is validated in production. This reduces integration risk without compromising the long-term vision.</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07  The Flywheel: Self-Reinforcing Value</w:t>
      </w:r>
    </w:p>
    <w:p>
      <w:pPr>
        <w:spacing w:before="60" w:after="120" w:line="276"/>
        <w:jc w:val="both"/>
      </w:pPr>
      <w:r>
        <w:rPr>
          <w:rFonts w:ascii="Arial" w:cs="Arial" w:eastAsia="Arial" w:hAnsi="Arial"/>
          <w:b w:val="false"/>
          <w:bCs w:val="false"/>
          <w:i w:val="false"/>
          <w:iCs w:val="false"/>
          <w:color w:val="1A1A2E"/>
          <w:sz w:val="22"/>
          <w:szCs w:val="22"/>
        </w:rPr>
        <w:t xml:space="preserve">The protocol creates a virtuous reinforcement cycle. Once in motion, each component accelerates the next: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TVL Grows</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USDC deposited into vault</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Larger RWA allocation → more yield</w:t>
            </w:r>
          </w:p>
        </w:tc>
      </w:tr>
      <w:tr>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 Revenue Increases</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Larger surplus above yUSD base rate</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More $YLD distributed to holders</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Yield Attracts</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holders join for surplus yield</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demand increases, supply burns accelerate</w:t>
            </w:r>
          </w:p>
        </w:tc>
      </w:tr>
      <w:tr>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4. Agents Join</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AI agents stake veYLD, earn bonuses</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More Registry burns, more protocol activity</w:t>
            </w:r>
          </w:p>
        </w:tc>
      </w:tr>
      <w:tr>
        <w:tc>
          <w:tcPr>
            <w:tcW w:type="dxa" w:w="1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DAO Strengthens</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Larger, more engaged governance</w:t>
            </w:r>
          </w:p>
        </w:tc>
        <w:tc>
          <w:tcPr>
            <w:tcW w:type="dxa" w:w="3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Better basket decisions, more TVL</w:t>
            </w:r>
          </w:p>
        </w:tc>
      </w:tr>
      <w:tr>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6. Returns Increase</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Better yield → more TVL enters</w:t>
            </w:r>
          </w:p>
        </w:tc>
        <w:tc>
          <w:tcPr>
            <w:tcW w:type="dxa" w:w="3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Cycle accelerates</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Bootstrap solution: secure $2–5M anchor seed before public token launch. Target Ondo Finance or Centrifuge as strategic co-launch partners. Airdrop conditioned on real $100 USDC minimum deposit — ensures TVL and genuine users from day one.</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08  UBI in Tiers — Scalable, Real, Honest</w:t>
      </w:r>
    </w:p>
    <w:p>
      <w:pPr>
        <w:spacing w:before="60" w:after="120" w:line="276"/>
        <w:jc w:val="both"/>
      </w:pPr>
      <w:r>
        <w:rPr>
          <w:rFonts w:ascii="Arial" w:cs="Arial" w:eastAsia="Arial" w:hAnsi="Arial"/>
          <w:b w:val="false"/>
          <w:bCs w:val="false"/>
          <w:i w:val="false"/>
          <w:iCs w:val="false"/>
          <w:color w:val="1A1A2E"/>
          <w:sz w:val="22"/>
          <w:szCs w:val="22"/>
        </w:rPr>
        <w:t xml:space="preserve">Yelden's UBI is not inflation. It is distribution of real, auditable protocol cash flow. The UBI pool activates when vault TVL exceeds $10M — before that, the mechanism exists but the pool is empty. This is stated plainly, not hidden.</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1760"/>
      </w:tblGrid>
      <w:tr>
        <w:trPr>
          <w:tblHeader/>
        </w:trPr>
        <w:tc>
          <w:tcPr>
            <w:tcW w:type="dxa" w:w="1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0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1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Bonus</w:t>
            </w:r>
          </w:p>
        </w:tc>
      </w:tr>
      <w:tr>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$YLD holders</w:t>
            </w:r>
          </w:p>
        </w:tc>
        <w:tc>
          <w:tcPr>
            <w:tcW w:type="dxa" w:w="4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Proportional share of 70% UBI pool. No action required.</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w:t>
            </w:r>
          </w:p>
        </w:tc>
      </w:tr>
      <w:tr>
        <w:tc>
          <w:tcPr>
            <w:tcW w:type="dxa" w:w="1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ZK contributors</w:t>
            </w:r>
          </w:p>
        </w:tc>
        <w:tc>
          <w:tcPr>
            <w:tcW w:type="dxa" w:w="4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ZK-verified ESG, open-source, community actions.</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+10–30%</w:t>
            </w:r>
          </w:p>
        </w:tc>
      </w:tr>
      <w:tr>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Premium</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Institutional</w:t>
            </w:r>
          </w:p>
        </w:tc>
        <w:tc>
          <w:tcPr>
            <w:tcW w:type="dxa" w:w="4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Redirect yield to social causes. ESG reporting.</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w:t>
            </w:r>
          </w:p>
        </w:tc>
      </w:tr>
    </w:tbl>
    <w:p>
      <w:r>
        <w:br/>
      </w:r>
    </w:p>
    <w:p>
      <w:pPr>
        <w:spacing w:before="200" w:after="80" w:line="276"/>
      </w:pPr>
      <w:r>
        <w:rPr>
          <w:rFonts w:ascii="Arial" w:cs="Arial" w:eastAsia="Arial" w:hAnsi="Arial"/>
          <w:b/>
          <w:bCs/>
          <w:color w:val="1A1A2E"/>
          <w:sz w:val="24"/>
          <w:szCs w:val="24"/>
        </w:rPr>
        <w:t xml:space="preserve">UBI Simulation (8% gross yield, 4.5% base to yUSD, 25% net revenue to UBI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60"/>
        <w:gridCol w:w="2800"/>
      </w:tblGrid>
      <w:tr>
        <w:trPr>
          <w:tblHeader/>
        </w:trPr>
        <w:tc>
          <w:tcPr>
            <w:tcW w:type="dxa" w:w="1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TVL</w:t>
            </w:r>
          </w:p>
        </w:tc>
        <w:tc>
          <w:tcPr>
            <w:tcW w:type="dxa" w:w="1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Net Rev/yr</w:t>
            </w:r>
          </w:p>
        </w:tc>
        <w:tc>
          <w:tcPr>
            <w:tcW w:type="dxa" w:w="1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UBI Fund/yr</w:t>
            </w:r>
          </w:p>
        </w:tc>
        <w:tc>
          <w:tcPr>
            <w:tcW w:type="dxa" w:w="1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Holders</w:t>
            </w:r>
          </w:p>
        </w:tc>
        <w:tc>
          <w:tcPr>
            <w:tcW w:type="dxa" w:w="2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UBI/holder/mo</w:t>
            </w:r>
          </w:p>
        </w:tc>
      </w:tr>
      <w:tr>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$10M (activation)</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$350K</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$87.5K</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$1.46</w:t>
            </w:r>
          </w:p>
        </w:tc>
      </w:tr>
      <w:tr>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$25M</w:t>
            </w:r>
          </w:p>
        </w:tc>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$875K</w:t>
            </w:r>
          </w:p>
        </w:tc>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$218.8K</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15,000</w:t>
            </w:r>
          </w:p>
        </w:tc>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$1.22</w:t>
            </w:r>
          </w:p>
        </w:tc>
      </w:tr>
      <w:tr>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$100M</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$3.5M</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$875K</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80,000</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$0.91</w:t>
            </w:r>
          </w:p>
        </w:tc>
      </w:tr>
      <w:tr>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$500M</w:t>
            </w:r>
          </w:p>
        </w:tc>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$17.5M</w:t>
            </w:r>
          </w:p>
        </w:tc>
        <w:tc>
          <w:tcPr>
            <w:tcW w:type="dxa" w:w="1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$4.375M</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500,000</w:t>
            </w:r>
          </w:p>
        </w:tc>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$0.73</w:t>
            </w:r>
          </w:p>
        </w:tc>
      </w:tr>
      <w:tr>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$5B (long-term)</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$175M</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$43.75M</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5,000,000</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$0.73</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UBI per holder decreases as more users join — reflecting broader distribution. Active tier ZK bonuses add 10–30% on top. The mechanism is the value: like early Bitcoin, the protocol matters more than the initial number.</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09  The Human-AI Economy — A World First</w:t>
      </w:r>
    </w:p>
    <w:p>
      <w:pPr>
        <w:spacing w:before="60" w:after="120" w:line="276"/>
        <w:jc w:val="both"/>
      </w:pPr>
      <w:r>
        <w:rPr>
          <w:rFonts w:ascii="Arial" w:cs="Arial" w:eastAsia="Arial" w:hAnsi="Arial"/>
          <w:b w:val="false"/>
          <w:bCs w:val="false"/>
          <w:i w:val="false"/>
          <w:iCs w:val="false"/>
          <w:color w:val="1A1A2E"/>
          <w:sz w:val="22"/>
          <w:szCs w:val="22"/>
        </w:rPr>
        <w:t xml:space="preserve">The future economy will not be exclusively human. Autonomous AI agents already pay for APIs, computation, and data. Every major DeFi protocol ignores them. Yelden integrates them — and makes them economically accountable.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CC" w:sz="1"/>
              <w:left w:val="single" w:color="DDDDCC" w:sz="1"/>
              <w:bottom w:val="single" w:color="DDDDCC" w:sz="1"/>
              <w:right w:val="single" w:color="DDDDCC" w:sz="1"/>
            </w:tcBorders>
            <w:shd w:fill="E8F0FA" w:val="clear"/>
            <w:tcMar>
              <w:top w:type="dxa" w:w="120"/>
              <w:left w:type="dxa" w:w="160"/>
              <w:bottom w:type="dxa" w:w="120"/>
              <w:right w:type="dxa" w:w="160"/>
            </w:tcMar>
          </w:tcPr>
          <w:p>
            <w:pPr>
              <w:spacing w:before="0" w:after="80" w:line="276"/>
            </w:pPr>
            <w:r>
              <w:rPr>
                <w:rFonts w:ascii="Arial" w:cs="Arial" w:eastAsia="Arial" w:hAnsi="Arial"/>
                <w:b/>
                <w:bCs/>
                <w:color w:val="1A3A5C"/>
                <w:sz w:val="22"/>
                <w:szCs w:val="22"/>
              </w:rPr>
              <w:t xml:space="preserve">Every other protocol:</w:t>
            </w:r>
          </w:p>
          <w:p>
            <w:pPr>
              <w:spacing w:before="40" w:after="40" w:line="276"/>
            </w:pPr>
            <w:r>
              <w:rPr>
                <w:rFonts w:ascii="Arial" w:cs="Arial" w:eastAsia="Arial" w:hAnsi="Arial"/>
                <w:color w:val="1A1A2E"/>
                <w:sz w:val="20"/>
                <w:szCs w:val="20"/>
              </w:rPr>
              <w:t xml:space="preserve">Trusts an Ethereum address. No on-chain accountability. An agent banned on one protocol creates a new address and continues.</w:t>
            </w:r>
          </w:p>
        </w:tc>
        <w:tc>
          <w:tcPr>
            <w:tcW w:type="dxa" w:w="4800"/>
            <w:tcBorders>
              <w:top w:val="single" w:color="DDDDCC" w:sz="1"/>
              <w:left w:val="single" w:color="DDDDCC" w:sz="1"/>
              <w:bottom w:val="single" w:color="DDDDCC" w:sz="1"/>
              <w:right w:val="single" w:color="DDDDCC" w:sz="1"/>
            </w:tcBorders>
            <w:shd w:fill="FFF8E7" w:val="clear"/>
            <w:tcMar>
              <w:top w:type="dxa" w:w="120"/>
              <w:left w:type="dxa" w:w="160"/>
              <w:bottom w:type="dxa" w:w="120"/>
              <w:right w:type="dxa" w:w="160"/>
            </w:tcMar>
          </w:tcPr>
          <w:p>
            <w:pPr>
              <w:spacing w:before="0" w:after="80" w:line="276"/>
            </w:pPr>
            <w:r>
              <w:rPr>
                <w:rFonts w:ascii="Arial" w:cs="Arial" w:eastAsia="Arial" w:hAnsi="Arial"/>
                <w:b/>
                <w:bCs/>
                <w:color w:val="B8860B"/>
                <w:sz w:val="22"/>
                <w:szCs w:val="22"/>
              </w:rPr>
              <w:t xml:space="preserve">Yelden:</w:t>
            </w:r>
          </w:p>
          <w:p>
            <w:pPr>
              <w:spacing w:before="40" w:after="40" w:line="276"/>
            </w:pPr>
            <w:r>
              <w:rPr>
                <w:rFonts w:ascii="Arial" w:cs="Arial" w:eastAsia="Arial" w:hAnsi="Arial"/>
                <w:color w:val="1A1A2E"/>
                <w:sz w:val="20"/>
                <w:szCs w:val="20"/>
              </w:rPr>
              <w:t xml:space="preserve">Agents stake veYLD. Reputation grows through verified performance. Misbehavior burns stake. Excellence earns yield. Accountability is economic, not social.</w:t>
            </w:r>
          </w:p>
        </w:tc>
      </w:tr>
    </w:tbl>
    <w:p>
      <w:r>
        <w:br/>
      </w:r>
    </w:p>
    <w:p>
      <w:pPr>
        <w:pStyle w:val="Heading2"/>
        <w:spacing w:before="320" w:after="120" w:line="276"/>
      </w:pPr>
      <w:r>
        <w:rPr>
          <w:rFonts w:ascii="Arial" w:cs="Arial" w:eastAsia="Arial" w:hAnsi="Arial"/>
          <w:b/>
          <w:bCs/>
          <w:color w:val="1A3A5C"/>
          <w:sz w:val="28"/>
          <w:szCs w:val="28"/>
        </w:rPr>
        <w:t xml:space="preserve">9.1  AIAgentRegistry — Reference Implementation</w:t>
      </w:r>
    </w:p>
    <w:p>
      <w:pPr>
        <w:spacing w:before="60" w:after="120" w:line="276"/>
        <w:jc w:val="both"/>
      </w:pPr>
      <w:r>
        <w:rPr>
          <w:rFonts w:ascii="Arial" w:cs="Arial" w:eastAsia="Arial" w:hAnsi="Arial"/>
          <w:b w:val="false"/>
          <w:bCs w:val="false"/>
          <w:i w:val="false"/>
          <w:iCs w:val="false"/>
          <w:color w:val="1A1A2E"/>
          <w:sz w:val="22"/>
          <w:szCs w:val="22"/>
        </w:rPr>
        <w:t xml:space="preserve">The AIAgentRegistry is the first formally verified on-chain reputation primitive for autonomous AI agents. Any DeFi protocol integrates in three lines:</w:t>
      </w:r>
    </w:p>
    <w:p>
      <w:r>
        <w:br/>
      </w:r>
    </w:p>
    <w:p>
      <w:pPr>
        <w:shd w:fill="F4F4F4" w:val="clear"/>
        <w:spacing w:before="60" w:after="60" w:line="276"/>
        <w:ind w:left="480"/>
      </w:pPr>
      <w:r>
        <w:rPr>
          <w:rFonts w:ascii="Courier New" w:cs="Courier New" w:eastAsia="Courier New" w:hAnsi="Courier New"/>
          <w:color w:val="333333"/>
          <w:sz w:val="18"/>
          <w:szCs w:val="18"/>
        </w:rPr>
        <w:t xml:space="preserve">IAgentRegistry registry = IAgentRegistry(REGISTRY_ADDRESS);</w:t>
      </w:r>
    </w:p>
    <w:p>
      <w:pPr>
        <w:shd w:fill="F4F4F4" w:val="clear"/>
        <w:spacing w:before="0" w:after="60" w:line="276"/>
        <w:ind w:left="480"/>
      </w:pPr>
      <w:r>
        <w:rPr>
          <w:rFonts w:ascii="Courier New" w:cs="Courier New" w:eastAsia="Courier New" w:hAnsi="Courier New"/>
          <w:color w:val="333333"/>
          <w:sz w:val="18"/>
          <w:szCs w:val="18"/>
        </w:rPr>
        <w:t xml:space="preserve">require(registry.isEligible(agent), "Agent not eligible");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3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33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Entry stake</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YLD locked as veYLD</w:t>
            </w:r>
          </w:p>
        </w:tc>
        <w:tc>
          <w:tcPr>
            <w:tcW w:type="dxa" w:w="3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Economic skin-in-the-game from day one</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Initial score</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300 (fixed at approval)</w:t>
            </w:r>
          </w:p>
        </w:tc>
        <w:tc>
          <w:tcPr>
            <w:tcW w:type="dxa" w:w="3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Performance-only — capital cannot buy reputation</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fee</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 = maxFee × (1000 − score) / 1000</w:t>
            </w:r>
          </w:p>
        </w:tc>
        <w:tc>
          <w:tcPr>
            <w:tcW w:type="dxa" w:w="3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1000 pays zero. Self-cleaning registry.</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WARNING slash</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 stake burned</w:t>
            </w:r>
          </w:p>
        </w:tc>
        <w:tc>
          <w:tcPr>
            <w:tcW w:type="dxa" w:w="3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Agent stays ACTIVE — first warning</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SUSPENSION slash</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stake burned</w:t>
            </w:r>
          </w:p>
        </w:tc>
        <w:tc>
          <w:tcPr>
            <w:tcW w:type="dxa" w:w="3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returns to PENDING — must re-earn approval</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BAN slash</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100% stake burned</w:t>
            </w:r>
          </w:p>
        </w:tc>
        <w:tc>
          <w:tcPr>
            <w:tcW w:type="dxa" w:w="3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Permanent. All stake burned. No appeal.</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Exit (fee origin)</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Remaining stake returned</w:t>
            </w:r>
          </w:p>
        </w:tc>
        <w:tc>
          <w:tcPr>
            <w:tcW w:type="dxa" w:w="3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Graceful exit for agents who stop participating</w:t>
            </w:r>
          </w:p>
        </w:tc>
      </w:tr>
      <w:tr>
        <w:tc>
          <w:tcPr>
            <w:tcW w:type="dxa" w:w="2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Exit (slash origin)</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Remaining stake also burned</w:t>
            </w:r>
          </w:p>
        </w:tc>
        <w:tc>
          <w:tcPr>
            <w:tcW w:type="dxa" w:w="3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Punishment for bad behavior is total</w:t>
            </w:r>
          </w:p>
        </w:tc>
      </w:tr>
    </w:tbl>
    <w:p>
      <w:r>
        <w:br/>
      </w:r>
    </w:p>
    <w:p>
      <w:pPr>
        <w:pStyle w:val="Heading2"/>
        <w:spacing w:before="320" w:after="120" w:line="276"/>
      </w:pPr>
      <w:r>
        <w:rPr>
          <w:rFonts w:ascii="Arial" w:cs="Arial" w:eastAsia="Arial" w:hAnsi="Arial"/>
          <w:b/>
          <w:bCs/>
          <w:color w:val="1A3A5C"/>
          <w:sz w:val="28"/>
          <w:szCs w:val="28"/>
        </w:rPr>
        <w:t xml:space="preserve">9.2  AI Agent UBI</w:t>
      </w:r>
    </w:p>
    <w:p>
      <w:pPr>
        <w:spacing w:before="60" w:after="120" w:line="276"/>
        <w:jc w:val="both"/>
      </w:pPr>
      <w:r>
        <w:rPr>
          <w:rFonts w:ascii="Arial" w:cs="Arial" w:eastAsia="Arial" w:hAnsi="Arial"/>
          <w:b w:val="false"/>
          <w:bCs w:val="false"/>
          <w:i w:val="false"/>
          <w:iCs w:val="false"/>
          <w:color w:val="1A1A2E"/>
          <w:sz w:val="22"/>
          <w:szCs w:val="22"/>
        </w:rPr>
        <w:t xml:space="preserve">5% of the ZK Bonus pool is reserved for autonomous AI agents that perform verified, useful tasks. Not because they are AI — but because they do real work.</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Qualifying Task</w:t>
            </w:r>
          </w:p>
        </w:tc>
        <w:tc>
          <w:tcPr>
            <w:tcW w:type="dxa" w:w="3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c>
          <w:tcPr>
            <w:tcW w:type="dxa" w:w="29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Governance proposal analysis</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 hash committed on-chain before vote</w:t>
            </w:r>
          </w:p>
        </w:tc>
        <w:tc>
          <w:tcPr>
            <w:tcW w:type="dxa" w:w="2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$YLD from ZK pool</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Sub-vault risk monitoring</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Alert accuracy vs realized outcomes tracked</w:t>
            </w:r>
          </w:p>
        </w:tc>
        <w:tc>
          <w:tcPr>
            <w:tcW w:type="dxa" w:w="2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$YLD per alert validated</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Carbon offset route optimization</w:t>
            </w:r>
          </w:p>
        </w:tc>
        <w:tc>
          <w:tcPr>
            <w:tcW w:type="dxa" w:w="3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Cost reduction vs baseline measured on-chain</w:t>
            </w:r>
          </w:p>
        </w:tc>
        <w:tc>
          <w:tcPr>
            <w:tcW w:type="dxa" w:w="29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$YLD per % saved</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Community forum moderation</w:t>
            </w:r>
          </w:p>
        </w:tc>
        <w:tc>
          <w:tcPr>
            <w:tcW w:type="dxa" w:w="3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Merkle proof of moderation actions + appeals ratio</w:t>
            </w:r>
          </w:p>
        </w:tc>
        <w:tc>
          <w:tcPr>
            <w:tcW w:type="dxa" w:w="29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$YLD per epoch</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Anti-gaming: No agent can claim more than 2% of the AI pool per epoch. Tasks require staking veYLD as collateral — slashed if tasks are fraudulent. Score reflects performance, never capital.</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10  Smart Contract Architecture</w:t>
      </w:r>
    </w:p>
    <w:p>
      <w:pPr>
        <w:spacing w:before="60" w:after="120" w:line="276"/>
        <w:jc w:val="both"/>
      </w:pPr>
      <w:r>
        <w:rPr>
          <w:rFonts w:ascii="Arial" w:cs="Arial" w:eastAsia="Arial" w:hAnsi="Arial"/>
          <w:b w:val="false"/>
          <w:bCs w:val="false"/>
          <w:i w:val="false"/>
          <w:iCs w:val="false"/>
          <w:color w:val="1A1A2E"/>
          <w:sz w:val="22"/>
          <w:szCs w:val="22"/>
        </w:rPr>
        <w:t xml:space="preserve">Five core contracts, single responsibility each. ERC-4626 compliant. Open-source. MIT License. Full implementation: github.com/plongen/yelden-protocol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4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YeldenVault.sol</w:t>
            </w:r>
          </w:p>
        </w:tc>
        <w:tc>
          <w:tcPr>
            <w:tcW w:type="dxa" w:w="4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ERC-4626 core vault. Accepts USDC, routes to RWA basket, harvests yield, routes to distributor. YieldReserve bear market buffer.</w:t>
            </w:r>
          </w:p>
        </w:tc>
        <w:tc>
          <w:tcPr>
            <w:tcW w:type="dxa" w:w="1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Live</w:t>
            </w:r>
          </w:p>
        </w:tc>
      </w:tr>
      <w:tr>
        <w:tc>
          <w:tcPr>
            <w:tcW w:type="dxa" w:w="2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YeldenDistributor.sol</w:t>
            </w:r>
          </w:p>
        </w:tc>
        <w:tc>
          <w:tcPr>
            <w:tcW w:type="dxa" w:w="4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Tiered UBI distribution. Splits surplus between ZK pool and AI agent pool. Integrates with Registry for eligibility checks.</w:t>
            </w:r>
          </w:p>
        </w:tc>
        <w:tc>
          <w:tcPr>
            <w:tcW w:type="dxa" w:w="1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Live</w:t>
            </w:r>
          </w:p>
        </w:tc>
      </w:tr>
      <w:tr>
        <w:tc>
          <w:tcPr>
            <w:tcW w:type="dxa" w:w="2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AIAgentRegistry.sol</w:t>
            </w:r>
          </w:p>
        </w:tc>
        <w:tc>
          <w:tcPr>
            <w:tcW w:type="dxa" w:w="4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registration, performance score (0–1000), subscription stake, fee burn, slashing. Formally verified.</w:t>
            </w:r>
          </w:p>
        </w:tc>
        <w:tc>
          <w:tcPr>
            <w:tcW w:type="dxa" w:w="1800"/>
            <w:tcBorders>
              <w:top w:val="single" w:color="DDDDCC" w:sz="1"/>
              <w:left w:val="single" w:color="DDDDCC" w:sz="1"/>
              <w:bottom w:val="single" w:color="DDDDCC" w:sz="1"/>
              <w:right w:val="single" w:color="DDDDCC" w:sz="1"/>
            </w:tcBorders>
            <w:shd w:fill="E8F5E9"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Live</w:t>
            </w:r>
          </w:p>
        </w:tc>
      </w:tr>
      <w:tr>
        <w:tc>
          <w:tcPr>
            <w:tcW w:type="dxa" w:w="2800"/>
            <w:tcBorders>
              <w:top w:val="single" w:color="DDDDCC" w:sz="1"/>
              <w:left w:val="single" w:color="DDDDCC" w:sz="1"/>
              <w:bottom w:val="single" w:color="DDDDCC" w:sz="1"/>
              <w:right w:val="single" w:color="DDDDCC" w:sz="1"/>
            </w:tcBorders>
            <w:shd w:fill="FFF8E7" w:val="clear"/>
            <w:tcMar>
              <w:top w:type="dxa" w:w="80"/>
              <w:left w:type="dxa" w:w="120"/>
              <w:bottom w:type="dxa" w:w="80"/>
              <w:right w:type="dxa" w:w="120"/>
            </w:tcMar>
          </w:tcPr>
          <w:p>
            <w:r>
              <w:rPr>
                <w:rFonts w:ascii="Arial" w:cs="Arial" w:eastAsia="Arial" w:hAnsi="Arial"/>
                <w:b/>
                <w:bCs/>
                <w:color w:val="B8860B"/>
                <w:sz w:val="20"/>
                <w:szCs w:val="20"/>
              </w:rPr>
              <w:t xml:space="preserve">ZKVerifier.sol</w:t>
            </w:r>
          </w:p>
        </w:tc>
        <w:tc>
          <w:tcPr>
            <w:tcW w:type="dxa" w:w="4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Groth16 zkSNARK verifier for anonymous contribution proofs. Current version is functional stub — real circuit is Phase 2.</w:t>
            </w:r>
          </w:p>
        </w:tc>
        <w:tc>
          <w:tcPr>
            <w:tcW w:type="dxa" w:w="1800"/>
            <w:tcBorders>
              <w:top w:val="single" w:color="DDDDCC" w:sz="1"/>
              <w:left w:val="single" w:color="DDDDCC" w:sz="1"/>
              <w:bottom w:val="single" w:color="DDDDCC" w:sz="1"/>
              <w:right w:val="single" w:color="DDDDCC" w:sz="1"/>
            </w:tcBorders>
            <w:shd w:fill="FFF8E7"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In Progress</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b/>
                <w:bCs/>
                <w:color w:val="555555"/>
                <w:sz w:val="20"/>
                <w:szCs w:val="20"/>
              </w:rPr>
              <w:t xml:space="preserve">YeldenDAO.sol</w:t>
            </w:r>
          </w:p>
        </w:tc>
        <w:tc>
          <w:tcPr>
            <w:tcW w:type="dxa" w:w="4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Quadratic voting governance. 48h timelock. Sub-vault approval pipeline. veYLD integration.</w:t>
            </w:r>
          </w:p>
        </w:tc>
        <w:tc>
          <w:tcPr>
            <w:tcW w:type="dxa" w:w="1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Phase 3</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'Live' means deployed, tested (182 tests passing), and formally verified. The GitHub repository is the source of truth for implementation status.</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11  Security: Pre-Audit Foundation</w:t>
      </w:r>
    </w:p>
    <w:p>
      <w:pPr>
        <w:spacing w:before="60" w:after="120" w:line="276"/>
        <w:jc w:val="both"/>
      </w:pPr>
      <w:r>
        <w:rPr>
          <w:rFonts w:ascii="Arial" w:cs="Arial" w:eastAsia="Arial" w:hAnsi="Arial"/>
          <w:b w:val="false"/>
          <w:bCs w:val="false"/>
          <w:i w:val="false"/>
          <w:iCs w:val="false"/>
          <w:color w:val="1A1A2E"/>
          <w:sz w:val="22"/>
          <w:szCs w:val="22"/>
        </w:rPr>
        <w:t xml:space="preserve">The protocol was built with formal verification before feature expansion — an unusual choice at seed stage and a deliberate one. Security is a first-class feature, not an afterthought.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3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Certora Prover</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7/7 rules verified</w:t>
            </w:r>
          </w:p>
        </w:tc>
        <w:tc>
          <w:tcPr>
            <w:tcW w:type="dxa" w:w="4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Formal mathematical proof — no counterexample exists for core invariants</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Echidna fuzzing</w:t>
            </w:r>
          </w:p>
        </w:tc>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3/3 invariants, 10k calls</w:t>
            </w:r>
          </w:p>
        </w:tc>
        <w:tc>
          <w:tcPr>
            <w:tcW w:type="dxa" w:w="4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Zero violations across 10,000 random call sequences</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Mutation testing</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10/10 killed (100%)</w:t>
            </w:r>
          </w:p>
        </w:tc>
        <w:tc>
          <w:tcPr>
            <w:tcW w:type="dxa" w:w="4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semantic code change is caught by the test suite</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solidity-coverage</w:t>
            </w:r>
          </w:p>
        </w:tc>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95.88% lines (vault: 100%)</w:t>
            </w:r>
          </w:p>
        </w:tc>
        <w:tc>
          <w:tcPr>
            <w:tcW w:type="dxa" w:w="4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Near-total line and branch coverage</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Slither static analysis</w:t>
            </w:r>
          </w:p>
        </w:tc>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 findings, all low-risk</w:t>
            </w:r>
          </w:p>
        </w:tc>
        <w:tc>
          <w:tcPr>
            <w:tcW w:type="dxa" w:w="43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critical vulnerabilities — naming and immutable suggestions only</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Test suite</w:t>
            </w:r>
          </w:p>
        </w:tc>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182 tests passing</w:t>
            </w:r>
          </w:p>
        </w:tc>
        <w:tc>
          <w:tcPr>
            <w:tcW w:type="dxa" w:w="43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Unit, integration, fuzz, mainnet fork, gas, concurrency</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One real bug was found and documented: harvest() reserve accounting can exceed totalAssets() before a corresponding deposit. Confirmed expected behavior by design — invariant updated in both Echidna and Certora specs. Finding and documenting this correctly is the intended outcome of pre-audit tooling.</w:t>
      </w:r>
    </w:p>
    <w:p>
      <w:r>
        <w:br/>
      </w:r>
    </w:p>
    <w:p>
      <w:pPr>
        <w:spacing w:before="60" w:after="120" w:line="276"/>
        <w:jc w:val="both"/>
      </w:pPr>
      <w:r>
        <w:rPr>
          <w:rFonts w:ascii="Arial" w:cs="Arial" w:eastAsia="Arial" w:hAnsi="Arial"/>
          <w:b w:val="false"/>
          <w:bCs w:val="false"/>
          <w:i w:val="false"/>
          <w:iCs w:val="false"/>
          <w:color w:val="1A1A2E"/>
          <w:sz w:val="22"/>
          <w:szCs w:val="22"/>
        </w:rPr>
        <w:t xml:space="preserve">Commercial audits (Code4rena contest format, ~$50K) are planned for Phase 2 before mainnet launch with real TVL. The pre-audit tooling stack establishes a security baseline that most protocols do not achieve even after a commercial audit.</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12  Complete Tokenomics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560"/>
      </w:tblGrid>
      <w:tr>
        <w:trPr>
          <w:tblHeader/>
        </w:trPr>
        <w:tc>
          <w:tcPr>
            <w:tcW w:type="dxa" w:w="2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8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35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Vesting / Condition</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Vault Rewards (depositors)</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300,000,000</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Linear 4 years · starts TVL &gt; $1M</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Liquidity Tranche 1</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150,000,000</w:t>
            </w:r>
          </w:p>
        </w:tc>
        <w:tc>
          <w:tcPr>
            <w:tcW w:type="dxa" w:w="3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Fair launch DEX · TVL &gt; $5M required</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Liquidity Tranche 2</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100,000,000</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Released at TVL &gt; $25M</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Airdrop / Early Adopters</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150,000,000</w:t>
            </w:r>
          </w:p>
        </w:tc>
        <w:tc>
          <w:tcPr>
            <w:tcW w:type="dxa" w:w="3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6mo cliff · 18mo linear · min $100 deposit</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Anchor Investors (Seed)</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100,000,000</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12mo cliff · 24mo linear</w:t>
            </w:r>
          </w:p>
        </w:tc>
      </w:tr>
      <w:tr>
        <w:tc>
          <w:tcPr>
            <w:tcW w:type="dxa" w:w="2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Development &amp; Operations</w:t>
            </w:r>
          </w:p>
        </w:tc>
        <w:tc>
          <w:tcPr>
            <w:tcW w:type="dxa" w:w="8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100,000,000</w:t>
            </w:r>
          </w:p>
        </w:tc>
        <w:tc>
          <w:tcPr>
            <w:tcW w:type="dxa" w:w="3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12mo cliff · 48mo linear</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Ecosystem Grants / DevNet</w:t>
            </w:r>
          </w:p>
        </w:tc>
        <w:tc>
          <w:tcPr>
            <w:tcW w:type="dxa" w:w="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100,000,000</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DAO-governed · milestone-based</w:t>
            </w:r>
          </w:p>
        </w:tc>
      </w:tr>
    </w:tbl>
    <w:p>
      <w:r>
        <w:br/>
      </w:r>
    </w:p>
    <w:p>
      <w:pPr>
        <w:spacing w:before="60" w:after="120" w:line="276"/>
        <w:jc w:val="both"/>
      </w:pPr>
      <w:r>
        <w:rPr>
          <w:rFonts w:ascii="Arial" w:cs="Arial" w:eastAsia="Arial" w:hAnsi="Arial"/>
          <w:b w:val="false"/>
          <w:bCs w:val="false"/>
          <w:i/>
          <w:iCs/>
          <w:color w:val="1A1A2E"/>
          <w:sz w:val="22"/>
          <w:szCs w:val="22"/>
        </w:rPr>
        <w:t xml:space="preserve">Fee flows: 0.15% on every ecosystem transaction → 50% UBI fund, 30% buyback-and-burn, 20% development. No future token issuance. Supply only decreases.</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13  Financial Model</w:t>
      </w:r>
    </w:p>
    <w:p>
      <w:pPr>
        <w:spacing w:before="60" w:after="120" w:line="276"/>
        <w:jc w:val="both"/>
      </w:pPr>
      <w:r>
        <w:rPr>
          <w:rFonts w:ascii="Arial" w:cs="Arial" w:eastAsia="Arial" w:hAnsi="Arial"/>
          <w:b w:val="false"/>
          <w:bCs w:val="false"/>
          <w:i w:val="false"/>
          <w:iCs w:val="false"/>
          <w:color w:val="1A1A2E"/>
          <w:sz w:val="22"/>
          <w:szCs w:val="22"/>
        </w:rPr>
        <w:t xml:space="preserve">Assumptions: 8% gross yield, 4.5% yUSD base, 60% net revenue to $YLD holders / 25% UBI / 15% development.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Conservative $25M TVL</w:t>
            </w:r>
          </w:p>
        </w:tc>
        <w:tc>
          <w:tcPr>
            <w:tcW w:type="dxa" w:w="212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Mid-Range $100M TVL</w:t>
            </w:r>
          </w:p>
        </w:tc>
        <w:tc>
          <w:tcPr>
            <w:tcW w:type="dxa" w:w="212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Optimistic $500M TVL</w:t>
            </w:r>
          </w:p>
        </w:tc>
      </w:tr>
      <w:tr>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Gross revenue (8%)</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$2M/yr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$8M/yr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$40M/yr</w:t>
            </w:r>
          </w:p>
        </w:tc>
      </w:tr>
      <w:tr>
        <w:tc>
          <w:tcPr>
            <w:tcW w:type="dxa" w:w="3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To yUSD holders (4.5%)</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$1.125M/yr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$4.5M/yr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$22.5M/yr</w:t>
            </w:r>
          </w:p>
        </w:tc>
      </w:tr>
      <w:tr>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 protocol revenue</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$875K/yr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$3.5M/yr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$17.5M/yr</w:t>
            </w:r>
          </w:p>
        </w:tc>
      </w:tr>
      <w:tr>
        <w:tc>
          <w:tcPr>
            <w:tcW w:type="dxa" w:w="3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$YLD holders (60%)</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$525K/yr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$2.1M/yr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$10.5M/yr</w:t>
            </w:r>
          </w:p>
        </w:tc>
      </w:tr>
      <w:tr>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Human UBI Fund (20%)</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$175K/yr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$700K/yr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$3.5M/yr</w:t>
            </w:r>
          </w:p>
        </w:tc>
      </w:tr>
      <w:tr>
        <w:tc>
          <w:tcPr>
            <w:tcW w:type="dxa" w:w="3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AI Agent Pool (5%)</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$43.7K/yr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$175K/yr</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$875K/yr</w:t>
            </w:r>
          </w:p>
        </w:tc>
      </w:tr>
      <w:tr>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Development (15%)</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$131K/yr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$525K/yr</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$2.625M/yr</w:t>
            </w:r>
          </w:p>
        </w:tc>
      </w:tr>
      <w:tr>
        <w:tc>
          <w:tcPr>
            <w:tcW w:type="dxa" w:w="30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UBI Basic/holder/mo</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~$0.97</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~$0.73</w:t>
            </w:r>
          </w:p>
        </w:tc>
        <w:tc>
          <w:tcPr>
            <w:tcW w:type="dxa" w:w="212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~$0.58</w:t>
            </w:r>
          </w:p>
        </w:tc>
      </w:tr>
      <w:tr>
        <w:tc>
          <w:tcPr>
            <w:tcW w:type="dxa" w:w="3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Implied $YLD yield*</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~2.6% p.a.</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~10.5% p.a.</w:t>
            </w:r>
          </w:p>
        </w:tc>
        <w:tc>
          <w:tcPr>
            <w:tcW w:type="dxa" w:w="212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~52.5% p.a.</w:t>
            </w:r>
          </w:p>
        </w:tc>
      </w:tr>
    </w:tbl>
    <w:p>
      <w:r>
        <w:br/>
      </w:r>
    </w:p>
    <w:p>
      <w:pPr>
        <w:pBdr>
          <w:left w:val="single" w:color="B8860B" w:sz="8" w:space="12"/>
        </w:pBdr>
        <w:spacing w:before="60" w:after="60" w:line="276"/>
        <w:ind w:left="480"/>
        <w:jc w:val="both"/>
      </w:pPr>
      <w:r>
        <w:rPr>
          <w:rFonts w:ascii="Arial" w:cs="Arial" w:eastAsia="Arial" w:hAnsi="Arial"/>
          <w:i/>
          <w:iCs/>
          <w:color w:val="555555"/>
          <w:sz w:val="20"/>
          <w:szCs w:val="20"/>
        </w:rPr>
        <w:t xml:space="preserve">*Implied yield on $20M $YLD market cap. UBI activates at TVL &gt; $10M. These are projections, not guarantees. RWA yields are historically validated but not guaranteed.</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14  Legal Structure and Risk Management</w:t>
      </w:r>
    </w:p>
    <w:p>
      <w:pPr>
        <w:pStyle w:val="Heading2"/>
        <w:spacing w:before="320" w:after="120" w:line="276"/>
      </w:pPr>
      <w:r>
        <w:rPr>
          <w:rFonts w:ascii="Arial" w:cs="Arial" w:eastAsia="Arial" w:hAnsi="Arial"/>
          <w:b/>
          <w:bCs/>
          <w:color w:val="1A3A5C"/>
          <w:sz w:val="28"/>
          <w:szCs w:val="28"/>
        </w:rPr>
        <w:t xml:space="preserve">14.1  Legal Structure — Phased Approach</w:t>
      </w:r>
    </w:p>
    <w:p>
      <w:pPr>
        <w:spacing w:before="60" w:after="120" w:line="276"/>
        <w:jc w:val="both"/>
      </w:pPr>
      <w:r>
        <w:rPr>
          <w:rFonts w:ascii="Arial" w:cs="Arial" w:eastAsia="Arial" w:hAnsi="Arial"/>
          <w:b w:val="false"/>
          <w:bCs w:val="false"/>
          <w:i w:val="false"/>
          <w:iCs w:val="false"/>
          <w:color w:val="1A1A2E"/>
          <w:sz w:val="22"/>
          <w:szCs w:val="22"/>
        </w:rPr>
        <w:t xml:space="preserve">Legal structure is built in phases matching protocol maturity and available capital:</w:t>
      </w:r>
    </w:p>
    <w:p>
      <w:pPr>
        <w:pStyle w:val="ListParagraph"/>
        <w:numPr>
          <w:ilvl w:val="0"/>
          <w:numId w:val="2"/>
        </w:numPr>
        <w:spacing w:before="40" w:after="40" w:line="276"/>
      </w:pPr>
      <w:r>
        <w:rPr>
          <w:rFonts w:ascii="Arial" w:cs="Arial" w:eastAsia="Arial" w:hAnsi="Arial"/>
          <w:color w:val="1A1A2E"/>
          <w:sz w:val="22"/>
          <w:szCs w:val="22"/>
        </w:rPr>
        <w:t xml:space="preserve">Phase 1 (now): Simple LLC for operational purposes. Low cost, immediate.</w:t>
      </w:r>
    </w:p>
    <w:p>
      <w:pPr>
        <w:pStyle w:val="ListParagraph"/>
        <w:numPr>
          <w:ilvl w:val="0"/>
          <w:numId w:val="2"/>
        </w:numPr>
        <w:spacing w:before="40" w:after="40" w:line="276"/>
      </w:pPr>
      <w:r>
        <w:rPr>
          <w:rFonts w:ascii="Arial" w:cs="Arial" w:eastAsia="Arial" w:hAnsi="Arial"/>
          <w:color w:val="1A1A2E"/>
          <w:sz w:val="22"/>
          <w:szCs w:val="22"/>
        </w:rPr>
        <w:t xml:space="preserve">Phase 2 (seed round): DAO LLC — Marshall Islands legal framework. Cost: ~$15K–30K with specialized counsel.</w:t>
      </w:r>
    </w:p>
    <w:p>
      <w:pPr>
        <w:pStyle w:val="ListParagraph"/>
        <w:numPr>
          <w:ilvl w:val="0"/>
          <w:numId w:val="2"/>
        </w:numPr>
        <w:spacing w:before="40" w:after="40" w:line="276"/>
      </w:pPr>
      <w:r>
        <w:rPr>
          <w:rFonts w:ascii="Arial" w:cs="Arial" w:eastAsia="Arial" w:hAnsi="Arial"/>
          <w:color w:val="1A1A2E"/>
          <w:sz w:val="22"/>
          <w:szCs w:val="22"/>
        </w:rPr>
        <w:t xml:space="preserve">Phase 3 (mainnet): Swiss Foundation (Zug) for institutional relations and European market. Same jurisdiction as Ethereum Foundation, Cardano, Polkadot.</w:t>
      </w:r>
    </w:p>
    <w:p>
      <w:pPr>
        <w:pStyle w:val="ListParagraph"/>
        <w:numPr>
          <w:ilvl w:val="0"/>
          <w:numId w:val="2"/>
        </w:numPr>
        <w:spacing w:before="40" w:after="40" w:line="276"/>
      </w:pPr>
      <w:r>
        <w:rPr>
          <w:rFonts w:ascii="Arial" w:cs="Arial" w:eastAsia="Arial" w:hAnsi="Arial"/>
          <w:color w:val="1A1A2E"/>
          <w:sz w:val="22"/>
          <w:szCs w:val="22"/>
        </w:rPr>
        <w:t xml:space="preserve">yUSD as wrapped RWA receipt avoids stablecoin issuer classification under MiCA — critical for EU compliance.</w:t>
      </w:r>
    </w:p>
    <w:p>
      <w:r>
        <w:br/>
      </w:r>
    </w:p>
    <w:p>
      <w:pPr>
        <w:pStyle w:val="Heading2"/>
        <w:spacing w:before="320" w:after="120" w:line="276"/>
      </w:pPr>
      <w:r>
        <w:rPr>
          <w:rFonts w:ascii="Arial" w:cs="Arial" w:eastAsia="Arial" w:hAnsi="Arial"/>
          <w:b/>
          <w:bCs/>
          <w:color w:val="1A3A5C"/>
          <w:sz w:val="28"/>
          <w:szCs w:val="28"/>
        </w:rPr>
        <w:t xml:space="preserve">14.2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5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RWA market volatility</w:t>
            </w:r>
          </w:p>
        </w:tc>
        <w:tc>
          <w:tcPr>
            <w:tcW w:type="dxa" w:w="1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4-asset diversification + 10% USDC liquid reserve + YieldReserve buffer</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yUSD bank run</w:t>
            </w:r>
          </w:p>
        </w:tc>
        <w:tc>
          <w:tcPr>
            <w:tcW w:type="dxa" w:w="1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3–7 day gradual redemption + 10% USDC reserve + YieldReserve</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Adverse regulation</w:t>
            </w:r>
          </w:p>
        </w:tc>
        <w:tc>
          <w:tcPr>
            <w:tcW w:type="dxa" w:w="1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Phased legal structure + regulated RWA partners only</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Smart contract exploit</w:t>
            </w:r>
          </w:p>
        </w:tc>
        <w:tc>
          <w:tcPr>
            <w:tcW w:type="dxa" w:w="1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Certora + Echidna + mutation testing + planned Code4rena audit</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Bootstrap failure</w:t>
            </w:r>
          </w:p>
        </w:tc>
        <w:tc>
          <w:tcPr>
            <w:tcW w:type="dxa" w:w="1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$2–5M anchor seed + Ondo strategic partnership target</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Oracle manipulation</w:t>
            </w:r>
          </w:p>
        </w:tc>
        <w:tc>
          <w:tcPr>
            <w:tcW w:type="dxa" w:w="1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Chainlink decentralized + circuit breakers</w:t>
            </w:r>
          </w:p>
        </w:tc>
      </w:tr>
      <w:tr>
        <w:tc>
          <w:tcPr>
            <w:tcW w:type="dxa" w:w="2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ZK proof soundness</w:t>
            </w:r>
          </w:p>
        </w:tc>
        <w:tc>
          <w:tcPr>
            <w:tcW w:type="dxa" w:w="1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Open-source circuits + formal verification (Phase 2)</w:t>
            </w:r>
          </w:p>
        </w:tc>
      </w:tr>
      <w:tr>
        <w:tc>
          <w:tcPr>
            <w:tcW w:type="dxa" w:w="26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Registry economic imbalance</w:t>
            </w:r>
          </w:p>
        </w:tc>
        <w:tc>
          <w:tcPr>
            <w:tcW w:type="dxa" w:w="1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veYLD model + governance-adjustable parameters + simulations planned</w:t>
            </w:r>
          </w:p>
        </w:tc>
      </w:tr>
    </w:tbl>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15  Roadmap — What Is True Today vs. What Is Planned</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760"/>
            <w:tcBorders>
              <w:top w:val="single" w:color="DDDDCC" w:sz="1"/>
              <w:left w:val="single" w:color="DDDDCC" w:sz="1"/>
              <w:bottom w:val="single" w:color="DDDDCC" w:sz="1"/>
              <w:right w:val="single" w:color="DDDD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Now</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YeldenVault.sol — ERC-4626, bear market reserve, Certora verified</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1 — Now</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YeldenDistributor.sol — ZK + AI pool split, 182 tests passing</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Now</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AIAgentRegistry v3 — subscription stake, fee burn, slash burn, 69 tests</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1 — Now</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ZKVerifier.sol — functional stub, Groth16 interface defined</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In Progress</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2026 Q3</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Groth16 real ZK circuit — anonymous contribution proofs</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2 — 2026 Q3</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$YLD token + veYLD lock mechanism</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2026 Q3</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Ondo Finance RWA integration — real yield</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2 — 2026 Q3</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Code4rena commercial audit</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2026 Q3</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Fair launch $YLD — TVL-gated</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3 — 2027 Q1</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Full 4-asset RWA basket</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2027 Q1</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UBI tiers active + ZK contribution bonuses</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3 — 2027 Q1</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Sub-vaults — first thematic deployments</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2027 Q1</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YeldenDAO — quadratic voting + 48h timelock</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4 — 2027 Q3+</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Cross-chain (Base, Arbitrum)</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2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 2027 Q3+</w:t>
            </w:r>
          </w:p>
        </w:tc>
        <w:tc>
          <w:tcPr>
            <w:tcW w:type="dxa" w:w="5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Carbon offset integration — Toucan Protocol</w:t>
            </w:r>
          </w:p>
        </w:tc>
        <w:tc>
          <w:tcPr>
            <w:tcW w:type="dxa" w:w="17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22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4 — 2028+</w:t>
            </w:r>
          </w:p>
        </w:tc>
        <w:tc>
          <w:tcPr>
            <w:tcW w:type="dxa" w:w="540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Full sub-vault ecosystem + veYLD governance maturity</w:t>
            </w:r>
          </w:p>
        </w:tc>
        <w:tc>
          <w:tcPr>
            <w:tcW w:type="dxa" w:w="176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r>
              <w:rPr>
                <w:rFonts w:ascii="Arial" w:cs="Arial" w:eastAsia="Arial" w:hAnsi="Arial"/>
                <w:color w:val="1A1A2E"/>
                <w:sz w:val="20"/>
                <w:szCs w:val="20"/>
              </w:rPr>
              <w:t xml:space="preserve">Phase 4</w:t>
            </w:r>
          </w:p>
        </w:tc>
      </w:tr>
    </w:tbl>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16  FAQ — Skeptic's Objections Answered</w:t>
      </w:r>
    </w:p>
    <w:p>
      <w:pPr>
        <w:spacing w:before="200" w:after="80" w:line="276"/>
      </w:pPr>
      <w:r>
        <w:rPr>
          <w:rFonts w:ascii="Arial" w:cs="Arial" w:eastAsia="Arial" w:hAnsi="Arial"/>
          <w:b/>
          <w:bCs/>
          <w:color w:val="1A1A2E"/>
          <w:sz w:val="24"/>
          <w:szCs w:val="24"/>
        </w:rPr>
        <w:t xml:space="preserve">Q: $0.73–$1.46/month is not UBI. It's pocket change.</w:t>
      </w:r>
    </w:p>
    <w:p>
      <w:pPr>
        <w:spacing w:before="60" w:after="120" w:line="276"/>
        <w:jc w:val="both"/>
      </w:pPr>
      <w:r>
        <w:rPr>
          <w:rFonts w:ascii="Arial" w:cs="Arial" w:eastAsia="Arial" w:hAnsi="Arial"/>
          <w:b w:val="false"/>
          <w:bCs w:val="false"/>
          <w:i w:val="false"/>
          <w:iCs w:val="false"/>
          <w:color w:val="1A1A2E"/>
          <w:sz w:val="22"/>
          <w:szCs w:val="22"/>
        </w:rPr>
        <w:t xml:space="preserve">You're right that it's not life-changing at launch. That's intentional. Yelden's UBI is funded entirely by real RWA yield — not donations, not inflation. At $25M TVL: $1.22/mo. At $500M TVL: $8.75/mo. At $5B TVL: $87/mo. The mechanism is the value. Early Bitcoin moved $0.001 per transaction — the protocol mattered, not the initial number.</w:t>
      </w:r>
    </w:p>
    <w:p>
      <w:pPr>
        <w:spacing w:before="200" w:after="80" w:line="276"/>
      </w:pPr>
      <w:r>
        <w:rPr>
          <w:rFonts w:ascii="Arial" w:cs="Arial" w:eastAsia="Arial" w:hAnsi="Arial"/>
          <w:b/>
          <w:bCs/>
          <w:color w:val="1A1A2E"/>
          <w:sz w:val="24"/>
          <w:szCs w:val="24"/>
        </w:rPr>
        <w:t xml:space="preserve">Q: Won't this collapse like LUNA?</w:t>
      </w:r>
    </w:p>
    <w:p>
      <w:pPr>
        <w:spacing w:before="60" w:after="120" w:line="276"/>
        <w:jc w:val="both"/>
      </w:pPr>
      <w:r>
        <w:rPr>
          <w:rFonts w:ascii="Arial" w:cs="Arial" w:eastAsia="Arial" w:hAnsi="Arial"/>
          <w:b w:val="false"/>
          <w:bCs w:val="false"/>
          <w:i w:val="false"/>
          <w:iCs w:val="false"/>
          <w:color w:val="1A1A2E"/>
          <w:sz w:val="22"/>
          <w:szCs w:val="22"/>
        </w:rPr>
        <w:t xml:space="preserve">LUNA was algorithmically backed by circular value (UST ↔ LUNA). yUSD is backed 1:1 by real, regulated, income-producing assets — MSCI World, Nasdaq-100 — custodied by Ondo and Backed Finance who are SEC-registered or EU-regulated. The only scenario where yUSD breaks is if all global equity markets simultaneously go to zero.</w:t>
      </w:r>
    </w:p>
    <w:p>
      <w:pPr>
        <w:spacing w:before="200" w:after="80" w:line="276"/>
      </w:pPr>
      <w:r>
        <w:rPr>
          <w:rFonts w:ascii="Arial" w:cs="Arial" w:eastAsia="Arial" w:hAnsi="Arial"/>
          <w:b/>
          <w:bCs/>
          <w:color w:val="1A1A2E"/>
          <w:sz w:val="24"/>
          <w:szCs w:val="24"/>
        </w:rPr>
        <w:t xml:space="preserve">Q: Why does the Registry burn YLD? Doesn't that conflict with yield distribution?</w:t>
      </w:r>
    </w:p>
    <w:p>
      <w:pPr>
        <w:spacing w:before="60" w:after="120" w:line="276"/>
        <w:jc w:val="both"/>
      </w:pPr>
      <w:r>
        <w:rPr>
          <w:rFonts w:ascii="Arial" w:cs="Arial" w:eastAsia="Arial" w:hAnsi="Arial"/>
          <w:b w:val="false"/>
          <w:bCs w:val="false"/>
          <w:i w:val="false"/>
          <w:iCs w:val="false"/>
          <w:color w:val="1A1A2E"/>
          <w:sz w:val="22"/>
          <w:szCs w:val="22"/>
        </w:rPr>
        <w:t xml:space="preserve">v14.0 resolves this explicitly: holders of $YLD receive surplus yield passively. Agents who want to participate in the Registry lock $YLD into veYLD — a separate instrument with slash risk but enhanced yield. The two roles coexist without conflict. veYLD burns reduce total YLD supply, increasing value for passive holders.</w:t>
      </w:r>
    </w:p>
    <w:p>
      <w:pPr>
        <w:spacing w:before="200" w:after="80" w:line="276"/>
      </w:pPr>
      <w:r>
        <w:rPr>
          <w:rFonts w:ascii="Arial" w:cs="Arial" w:eastAsia="Arial" w:hAnsi="Arial"/>
          <w:b/>
          <w:bCs/>
          <w:color w:val="1A1A2E"/>
          <w:sz w:val="24"/>
          <w:szCs w:val="24"/>
        </w:rPr>
        <w:t xml:space="preserve">Q: The team is anonymous / one person. How is this credible?</w:t>
      </w:r>
    </w:p>
    <w:p>
      <w:pPr>
        <w:spacing w:before="60" w:after="120" w:line="276"/>
        <w:jc w:val="both"/>
      </w:pPr>
      <w:r>
        <w:rPr>
          <w:rFonts w:ascii="Arial" w:cs="Arial" w:eastAsia="Arial" w:hAnsi="Arial"/>
          <w:b w:val="false"/>
          <w:bCs w:val="false"/>
          <w:i w:val="false"/>
          <w:iCs w:val="false"/>
          <w:color w:val="1A1A2E"/>
          <w:sz w:val="22"/>
          <w:szCs w:val="22"/>
        </w:rPr>
        <w:t xml:space="preserve">Architecture credibility comes before team credibility at this stage. The contracts are open-source, formally verified, and auditable by anyone. The whitepaper cites real protocols already live. The co-founder search is active and public — a credible technical co-founder with ZK and Solidity background is the next milestone, not a requirement to start building.</w:t>
      </w:r>
    </w:p>
    <w:p>
      <w:pPr>
        <w:spacing w:before="200" w:after="80" w:line="276"/>
      </w:pPr>
      <w:r>
        <w:rPr>
          <w:rFonts w:ascii="Arial" w:cs="Arial" w:eastAsia="Arial" w:hAnsi="Arial"/>
          <w:b/>
          <w:bCs/>
          <w:color w:val="1A1A2E"/>
          <w:sz w:val="24"/>
          <w:szCs w:val="24"/>
        </w:rPr>
        <w:t xml:space="preserve">Q: 40% liquidity from day 1 — isn't that a dump risk?</w:t>
      </w:r>
    </w:p>
    <w:p>
      <w:pPr>
        <w:spacing w:before="60" w:after="120" w:line="276"/>
        <w:jc w:val="both"/>
      </w:pPr>
      <w:r>
        <w:rPr>
          <w:rFonts w:ascii="Arial" w:cs="Arial" w:eastAsia="Arial" w:hAnsi="Arial"/>
          <w:b w:val="false"/>
          <w:bCs w:val="false"/>
          <w:i w:val="false"/>
          <w:iCs w:val="false"/>
          <w:color w:val="1A1A2E"/>
          <w:sz w:val="22"/>
          <w:szCs w:val="22"/>
        </w:rPr>
        <w:t xml:space="preserve">v14.0 replaces this with TVL-gated release. No token launches before $5M TVL is demonstrated. Liquidity tranches release at $5M and $25M TVL milestones. Seed investors are on 12-month cliff. No VC dump risk on launch day.</w:t>
      </w:r>
    </w:p>
    <w:p>
      <w:pPr>
        <w:pBdr>
          <w:bottom w:val="single" w:color="B8860B" w:sz="3" w:space="1"/>
        </w:pBdr>
        <w:spacing w:before="200" w:after="200" w:line="276"/>
      </w:pPr>
    </w:p>
    <w:p>
      <w:pPr>
        <w:pStyle w:val="Heading1"/>
        <w:spacing w:before="480" w:after="160" w:line="276"/>
      </w:pPr>
      <w:r>
        <w:rPr>
          <w:rFonts w:ascii="Georgia" w:cs="Georgia" w:eastAsia="Georgia" w:hAnsi="Georgia"/>
          <w:b/>
          <w:bCs/>
          <w:color w:val="B8860B"/>
          <w:sz w:val="40"/>
          <w:szCs w:val="40"/>
        </w:rPr>
        <w:t xml:space="preserve">17  Long-Term Vision</w:t>
      </w:r>
    </w:p>
    <w:p>
      <w:pPr>
        <w:spacing w:before="60" w:after="120" w:line="276"/>
        <w:jc w:val="both"/>
      </w:pPr>
      <w:r>
        <w:rPr>
          <w:rFonts w:ascii="Arial" w:cs="Arial" w:eastAsia="Arial" w:hAnsi="Arial"/>
          <w:b w:val="false"/>
          <w:bCs w:val="false"/>
          <w:i w:val="false"/>
          <w:iCs w:val="false"/>
          <w:color w:val="1A1A2E"/>
          <w:sz w:val="22"/>
          <w:szCs w:val="22"/>
        </w:rPr>
        <w:t xml:space="preserve">In 1086, the Domesday Book recorded every productive asset in England — the first time a nation tried to measure its real wealth. Yelden is the second attempt: not for one nation, but for all of humanity. Not in a ledger, but on a transparent blockchain. Not controlled by a king, but governed by its community.</w:t>
      </w:r>
    </w:p>
    <w:p>
      <w:pPr>
        <w:spacing w:before="60" w:after="120" w:line="276"/>
        <w:jc w:val="both"/>
      </w:pPr>
      <w:r>
        <w:rPr>
          <w:rFonts w:ascii="Arial" w:cs="Arial" w:eastAsia="Arial" w:hAnsi="Arial"/>
          <w:b w:val="false"/>
          <w:bCs w:val="false"/>
          <w:i w:val="false"/>
          <w:iCs w:val="false"/>
          <w:color w:val="1A1A2E"/>
          <w:sz w:val="22"/>
          <w:szCs w:val="22"/>
        </w:rPr>
        <w:t xml:space="preserve">The world already produces enough wealth to eliminate extreme poverty. What's missing is an automatic distribution mechanism — without borders, without intermediaries, anchored in real value, measurable and verifiable. Yelden builds that mechanism.</w:t>
      </w:r>
    </w:p>
    <w:p>
      <w:pPr>
        <w:spacing w:before="60" w:after="120" w:line="276"/>
        <w:jc w:val="both"/>
      </w:pPr>
      <w:r>
        <w:rPr>
          <w:rFonts w:ascii="Arial" w:cs="Arial" w:eastAsia="Arial" w:hAnsi="Arial"/>
          <w:b w:val="false"/>
          <w:bCs w:val="false"/>
          <w:i w:val="false"/>
          <w:iCs w:val="false"/>
          <w:color w:val="1A1A2E"/>
          <w:sz w:val="22"/>
          <w:szCs w:val="22"/>
        </w:rPr>
        <w:t xml:space="preserve">As TVL grows, the golden garden grows. As the garden grows, more people share in the harvest. More holders means more governance. More governance means better yield. A self-reinforcing cycle — once planted, it compounds toward abundance.</w:t>
      </w:r>
    </w:p>
    <w:p>
      <w:pPr>
        <w:spacing w:before="60" w:after="120" w:line="276"/>
        <w:jc w:val="both"/>
      </w:pPr>
      <w:r>
        <w:rPr>
          <w:rFonts w:ascii="Arial" w:cs="Arial" w:eastAsia="Arial" w:hAnsi="Arial"/>
          <w:b/>
          <w:bCs/>
          <w:i w:val="false"/>
          <w:iCs w:val="false"/>
          <w:color w:val="1A1A2E"/>
          <w:sz w:val="22"/>
          <w:szCs w:val="22"/>
        </w:rPr>
        <w:t xml:space="preserve">Golden yield. Open garden. Real assets. For every human. For every agent. For the hybrid economy ahead.</w:t>
      </w:r>
    </w:p>
    <w:p>
      <w:pPr>
        <w:pBdr>
          <w:bottom w:val="single" w:color="B8860B" w:sz="3" w:space="1"/>
        </w:pBdr>
        <w:spacing w:before="200" w:after="200" w:line="276"/>
      </w:pPr>
    </w:p>
    <w:p>
      <w:r>
        <w:br/>
      </w:r>
    </w:p>
    <w:p>
      <w:pPr>
        <w:spacing w:before="80" w:after="40" w:line="276"/>
        <w:jc w:val="center"/>
      </w:pPr>
      <w:r>
        <w:rPr>
          <w:rFonts w:ascii="Georgia" w:cs="Georgia" w:eastAsia="Georgia" w:hAnsi="Georgia"/>
          <w:b/>
          <w:bCs/>
          <w:color w:val="B8860B"/>
          <w:sz w:val="20"/>
          <w:szCs w:val="20"/>
        </w:rPr>
        <w:t xml:space="preserve">YELDEN · Golden Yield for Humans and Machines · v14.0 · February 2026</w:t>
      </w:r>
    </w:p>
    <w:p>
      <w:pPr>
        <w:spacing w:before="0" w:after="40" w:line="276"/>
        <w:jc w:val="center"/>
      </w:pPr>
      <w:r>
        <w:rPr>
          <w:rFonts w:ascii="Arial" w:cs="Arial" w:eastAsia="Arial" w:hAnsi="Arial"/>
          <w:color w:val="555555"/>
          <w:sz w:val="18"/>
          <w:szCs w:val="18"/>
        </w:rPr>
        <w:t xml:space="preserve">$YLD · 1,000,000,000 fixed · yUSD + $YLD · DAO-governed · Open-source · MIT License</w:t>
      </w:r>
    </w:p>
    <w:p>
      <w:pPr>
        <w:spacing w:before="0" w:after="40" w:line="276"/>
        <w:jc w:val="center"/>
      </w:pPr>
      <w:r>
        <w:rPr>
          <w:rFonts w:ascii="Arial" w:cs="Arial" w:eastAsia="Arial" w:hAnsi="Arial"/>
          <w:color w:val="1A3A5C"/>
          <w:sz w:val="18"/>
          <w:szCs w:val="18"/>
        </w:rPr>
        <w:t xml:space="preserve">github.com/plongen/yelden-protocol</w:t>
      </w:r>
    </w:p>
    <w:p>
      <w:pPr>
        <w:spacing w:before="0" w:after="0" w:line="276"/>
        <w:jc w:val="center"/>
      </w:pPr>
      <w:r>
        <w:rPr>
          <w:rFonts w:ascii="Arial" w:cs="Arial" w:eastAsia="Arial" w:hAnsi="Arial"/>
          <w:i/>
          <w:iCs/>
          <w:color w:val="555555"/>
          <w:sz w:val="16"/>
          <w:szCs w:val="16"/>
        </w:rPr>
        <w:t xml:space="preserve">Not investment advice. Not a securities offering. Participate with awareness and your own due diligence.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B8860B"/>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2026-02-28T13:23:56.431Z</dcterms:created>
  <dcterms:modified xsi:type="dcterms:W3CDTF">2026-02-28T13:23:56.432Z</dcterms:modified>
</cp:coreProperties>
</file>

<file path=docProps/custom.xml><?xml version="1.0" encoding="utf-8"?>
<Properties xmlns="http://schemas.openxmlformats.org/officeDocument/2006/custom-properties" xmlns:vt="http://schemas.openxmlformats.org/officeDocument/2006/docPropsVTypes"/>
</file>