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Disaster Relief Supply &amp; Volunteer Coordinator</w:t>
      </w:r>
    </w:p>
    <w:p>
      <w:pPr>
        <w:jc w:val="center"/>
      </w:pPr>
      <w:r>
        <w:rPr>
          <w:b/>
          <w:sz w:val="22"/>
        </w:rPr>
        <w:t>Requirements Engineering &amp; UML Use-Case Modelling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Req</w:t>
              <w:br/>
              <w:t>ID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81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Acceptance</w:t>
              <w:br/>
              <w:t>Criteria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Rationale</w:t>
              <w:br/>
              <w:t>(short)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Comments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FR-001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shall match shelter supply requirements with the available supplies in the central warehouse and allocate available supplies according to the priority.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receives the shelter’s requested items and quantities.</w:t>
              <w:br/>
              <w:br/>
              <w:t>The system checks the current warehouse inventory.</w:t>
              <w:br/>
              <w:br/>
              <w:t>Critical requirements such as water and medical kits receive higher priority.</w:t>
              <w:br/>
              <w:br/>
              <w:t>If sufficient supplies are unavailable, the system reports the shortage.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Matching requirements with available supplies helps ensure that limited disaster-relief resources are sent to shelters where they are needed most.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FR-002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shall assign relief volunteers to suitable tasks based on their registered skills and availability.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5"/>
              </w:rPr>
              <w:t>The Disaster Manager can view available volunteers.</w:t>
              <w:br/>
              <w:br/>
              <w:t>The system stores volunteer skills.</w:t>
              <w:br/>
              <w:br/>
              <w:t>The system allows assignment of volunteers based on suitable skills.</w:t>
              <w:br/>
              <w:br/>
              <w:t>A volunteer can view their assigned task.</w:t>
              <w:br/>
              <w:br/>
              <w:t>The assignment status is recorded by the system.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Skill-based volunteer assignment helps use available manpower efficiently during emergency situations.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FR-003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shall prioritize supply requests and create sending information for relief deliveries.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assigns a priority to each supply request.</w:t>
              <w:br/>
              <w:br/>
              <w:t>Water and medical supplies can be marked as high priority.</w:t>
              <w:br/>
              <w:br/>
              <w:t>The system creates a dispatch record containing the required supply information.</w:t>
              <w:br/>
              <w:br/>
              <w:t>The dispatch is added to the delivery manifest.</w:t>
              <w:br/>
              <w:br/>
              <w:t>The Disaster Manager can view the delivery status.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Critical supplies must reach affected people before lower-priority items during an emergency.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FR-004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shall allow the Disaster Manager to track relief vehicles and monitor the status of their deliveries to shelters.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5"/>
              </w:rPr>
              <w:t>The Disaster Manager can view assigned relief vehicles.</w:t>
              <w:br/>
              <w:br/>
              <w:t>Each vehicle can be associated with a delivery.</w:t>
              <w:br/>
              <w:br/>
              <w:t>The system records delivery status such as Pending, In ongoing, Delivered, or Delayed.</w:t>
              <w:br/>
              <w:br/>
              <w:t>The Disaster Manager can view the current delivery status.</w:t>
              <w:br/>
              <w:br/>
              <w:t>Delivery delays can be reported.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Tracking vehicles helps the Disaster Manager know whether essential supplies are reaching shelters on time.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FR-005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shall provide the Disaster Manager with an overview of shelter requirements, supply allocations, volunteer assignments, and delivery status.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5"/>
              </w:rPr>
              <w:t>The Disaster Manager can view pending shelter requirements.</w:t>
              <w:br/>
              <w:br/>
              <w:t>The Disaster Manager can view supply allocation status.</w:t>
              <w:br/>
              <w:br/>
              <w:t>The Disaster Manager can view volunteer assignments.</w:t>
              <w:br/>
              <w:br/>
              <w:t>The Disaster Manager can view vehicle and delivery status.</w:t>
              <w:br/>
              <w:br/>
              <w:t>The displayed information reflects the latest available system data.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A central view allows the Disaster Manager to understand the current situation and make faster decisions during disaster relief operations.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NFR-001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sz w:val="15"/>
              </w:rPr>
              <w:t>Nonfunc.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The disaster mapping and coordination dashboard shall operate effectively using low network bandwidth and shall minimize unnecessary data transfer.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5"/>
              </w:rPr>
              <w:t>The dashboard should remain usable under simulated low-bandwidth conditions.</w:t>
              <w:br/>
              <w:br/>
              <w:t>The system should minimize unnecessary data transfers.</w:t>
              <w:br/>
              <w:br/>
              <w:t>time target under the simulated load.</w:t>
              <w:br/>
              <w:br/>
              <w:t>Data should be transmitted efficiently without unnecessary duplication.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Disaster areas may have weak or unstable network connections. The system must remain usable when network bandwidth is limited.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NFR-002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sz w:val="15"/>
              </w:rPr>
              <w:t>Nonfunc.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shall protect disaster-relief information by allowing only authenticated and authorized users to access sensitive operations and data.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5"/>
              </w:rPr>
              <w:t>Users must authenticate before accessing protected functions.</w:t>
              <w:br/>
              <w:br/>
              <w:t>Disaster Manager functions must not be available to unauthorized users.</w:t>
              <w:br/>
              <w:br/>
              <w:t>Sensitive information must not be accessible to unauthenticated users.</w:t>
              <w:br/>
              <w:br/>
              <w:t>Unauthorized access attempts must be rejected.</w:t>
              <w:br/>
              <w:br/>
              <w:t>User access should follow role-based permissions.</w:t>
            </w:r>
          </w:p>
        </w:tc>
        <w:tc>
          <w:tcPr>
            <w:tcW w:type="dxa" w:w="3384"/>
            <w:vAlign w:val="top"/>
          </w:tcPr>
          <w:p>
            <w:pPr>
              <w:spacing w:after="20"/>
            </w:pPr>
            <w:r>
              <w:rPr>
                <w:sz w:val="15"/>
              </w:rPr>
              <w:t>Disaster-related information, shelter requirements, volunteer information, and logistics data may be sensitive. Unauthorized access could disrupt relief operations.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</w:r>
          </w:p>
        </w:tc>
      </w:tr>
    </w:tbl>
    <w:sectPr w:rsidR="00FC693F" w:rsidRPr="0006063C" w:rsidSect="00034616">
      <w:pgSz w:w="16834" w:h="11909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