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FAC7" w14:textId="77777777" w:rsidR="009713DE" w:rsidRDefault="00000000">
      <w:pPr>
        <w:spacing w:before="480"/>
      </w:pPr>
      <w:r>
        <w:rPr>
          <w:b/>
          <w:bCs/>
          <w:color w:val="1B3A5C"/>
          <w:sz w:val="52"/>
          <w:szCs w:val="52"/>
        </w:rPr>
        <w:t>URBAN PROSPECT</w:t>
      </w:r>
    </w:p>
    <w:p w14:paraId="36CC7823" w14:textId="77777777" w:rsidR="009713DE" w:rsidRDefault="00000000">
      <w:pPr>
        <w:pBdr>
          <w:bottom w:val="single" w:sz="12" w:space="8" w:color="2E75B6"/>
        </w:pBdr>
        <w:spacing w:before="60"/>
      </w:pPr>
      <w:r>
        <w:rPr>
          <w:color w:val="2E75B6"/>
          <w:sz w:val="32"/>
          <w:szCs w:val="32"/>
        </w:rPr>
        <w:t>Piano evolutivo verso l’MVP</w:t>
      </w:r>
    </w:p>
    <w:p w14:paraId="5D29BA5E" w14:textId="77777777" w:rsidR="009713DE" w:rsidRDefault="009713DE">
      <w:pPr>
        <w:spacing w:before="60"/>
      </w:pPr>
    </w:p>
    <w:p w14:paraId="24DF9851" w14:textId="77777777" w:rsidR="009713DE" w:rsidRDefault="00000000">
      <w:r>
        <w:rPr>
          <w:i/>
          <w:iCs/>
          <w:color w:val="555555"/>
          <w:sz w:val="24"/>
          <w:szCs w:val="24"/>
        </w:rPr>
        <w:t>Roadmap per trasformare il prototipo in uno strumento presentabile a una SGR</w:t>
      </w:r>
    </w:p>
    <w:p w14:paraId="30E3320B" w14:textId="77777777" w:rsidR="009713DE" w:rsidRDefault="009713DE">
      <w:pPr>
        <w:spacing w:before="40"/>
      </w:pPr>
    </w:p>
    <w:p w14:paraId="1703A8F0" w14:textId="77777777" w:rsidR="009713DE" w:rsidRDefault="00000000">
      <w:r>
        <w:rPr>
          <w:color w:val="555555"/>
          <w:sz w:val="20"/>
          <w:szCs w:val="20"/>
        </w:rPr>
        <w:t>Marzo 2026</w:t>
      </w:r>
    </w:p>
    <w:p w14:paraId="0274C9F8" w14:textId="77777777" w:rsidR="009713DE" w:rsidRDefault="009713DE">
      <w:pPr>
        <w:spacing w:before="120"/>
      </w:pPr>
    </w:p>
    <w:p w14:paraId="5574ED35" w14:textId="77777777" w:rsidR="009713DE" w:rsidRDefault="00000000">
      <w:pPr>
        <w:pStyle w:val="Titolo1"/>
        <w:pBdr>
          <w:bottom w:val="single" w:sz="8" w:space="4" w:color="2E75B6"/>
        </w:pBdr>
      </w:pPr>
      <w:r>
        <w:t>1. Premessa</w:t>
      </w:r>
    </w:p>
    <w:p w14:paraId="01BCFA5A" w14:textId="77777777" w:rsidR="009713DE" w:rsidRDefault="00000000">
      <w:pPr>
        <w:spacing w:before="60" w:after="80"/>
      </w:pPr>
      <w:r>
        <w:t xml:space="preserve">Urban </w:t>
      </w:r>
      <w:proofErr w:type="spellStart"/>
      <w:r>
        <w:t>Prospect</w:t>
      </w:r>
      <w:proofErr w:type="spellEnd"/>
      <w:r>
        <w:t xml:space="preserve"> è un prototipo funzionante che combina indicatori ambientali (impermeabilizzazione del suolo, copertura arborea), demografici (variazione ISTAT 2023–2025) e di accessibilità (drive time a Roma) per produrre un </w:t>
      </w:r>
      <w:proofErr w:type="spellStart"/>
      <w:r>
        <w:t>Prospect</w:t>
      </w:r>
      <w:proofErr w:type="spellEnd"/>
      <w:r>
        <w:t xml:space="preserve"> Score su 1.048 comuni in 4 regioni italiane (Lazio, Toscana, Umbria, Abruzzo). Il tool include già pesi personalizzabili dall’utente e un </w:t>
      </w:r>
      <w:proofErr w:type="spellStart"/>
      <w:r>
        <w:t>layer</w:t>
      </w:r>
      <w:proofErr w:type="spellEnd"/>
      <w:r>
        <w:t xml:space="preserve"> di prezzi OMI come validatore del valore immobiliare.</w:t>
      </w:r>
    </w:p>
    <w:p w14:paraId="49DD0EFC" w14:textId="77777777" w:rsidR="009713DE" w:rsidRDefault="009713DE">
      <w:pPr>
        <w:spacing w:before="60"/>
      </w:pPr>
    </w:p>
    <w:p w14:paraId="4094AD8B" w14:textId="77777777" w:rsidR="009713DE" w:rsidRDefault="00000000">
      <w:pPr>
        <w:spacing w:before="60" w:after="80"/>
      </w:pPr>
      <w:r>
        <w:t xml:space="preserve">L’ipotesi di utilizzo è quella di una SGR che usa il tool come filtro di primo livello: trovare comuni in cui i fondamentali ambientali e demografici sono forti, ma il prezzo degli immobili non ha ancora reagito. Questa è esattamente la logica del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investing</w:t>
      </w:r>
      <w:proofErr w:type="spellEnd"/>
      <w:r>
        <w:t xml:space="preserve"> applicata al </w:t>
      </w:r>
      <w:proofErr w:type="spellStart"/>
      <w:r>
        <w:t>real</w:t>
      </w:r>
      <w:proofErr w:type="spellEnd"/>
      <w:r>
        <w:t xml:space="preserve"> estate territoriale.</w:t>
      </w:r>
    </w:p>
    <w:p w14:paraId="22D28FBB" w14:textId="77777777" w:rsidR="009713DE" w:rsidRDefault="009713DE">
      <w:pPr>
        <w:spacing w:before="60"/>
      </w:pPr>
    </w:p>
    <w:p w14:paraId="02E0B16F" w14:textId="77777777" w:rsidR="009713DE" w:rsidRDefault="00000000">
      <w:pPr>
        <w:spacing w:before="60" w:after="80"/>
      </w:pPr>
      <w:r>
        <w:t xml:space="preserve">Questo documento identifica i </w:t>
      </w:r>
      <w:proofErr w:type="gramStart"/>
      <w:r>
        <w:t>gap</w:t>
      </w:r>
      <w:proofErr w:type="gramEnd"/>
      <w:r>
        <w:t xml:space="preserve"> dell’attuale prototipo rispetto alle esigenze operative di una SGR e definisce un piano evolutivo in tre fasi per raggiungere un </w:t>
      </w:r>
      <w:proofErr w:type="gramStart"/>
      <w:r>
        <w:t>mini MVP</w:t>
      </w:r>
      <w:proofErr w:type="gramEnd"/>
      <w:r>
        <w:t xml:space="preserve"> presentabile, con sforzo e tempi realistici per </w:t>
      </w:r>
      <w:proofErr w:type="gramStart"/>
      <w:r>
        <w:t>un team small</w:t>
      </w:r>
      <w:proofErr w:type="gramEnd"/>
      <w:r>
        <w:t xml:space="preserve"> (1–2 sviluppatori).</w:t>
      </w:r>
    </w:p>
    <w:p w14:paraId="0103A128" w14:textId="77777777" w:rsidR="009713DE" w:rsidRDefault="009713DE">
      <w:pPr>
        <w:spacing w:before="40"/>
      </w:pPr>
    </w:p>
    <w:p w14:paraId="034A26FF" w14:textId="77777777" w:rsidR="009713DE" w:rsidRDefault="00000000">
      <w:pPr>
        <w:pStyle w:val="Titolo1"/>
        <w:pBdr>
          <w:bottom w:val="single" w:sz="8" w:space="4" w:color="2E75B6"/>
        </w:pBdr>
      </w:pPr>
      <w:r>
        <w:t>2. Definizione di MVP</w:t>
      </w:r>
    </w:p>
    <w:p w14:paraId="4EC6B63C" w14:textId="77777777" w:rsidR="009713DE" w:rsidRDefault="00000000">
      <w:pPr>
        <w:spacing w:before="60" w:after="80"/>
      </w:pPr>
      <w:r>
        <w:t>Un MVP per una SGR deve soddisfare tre criteri fondamentali:</w:t>
      </w:r>
    </w:p>
    <w:p w14:paraId="3849EBF4" w14:textId="77777777" w:rsidR="009713DE" w:rsidRDefault="009713DE">
      <w:pPr>
        <w:spacing w:before="40"/>
      </w:pPr>
    </w:p>
    <w:p w14:paraId="06EDB8A0" w14:textId="77777777" w:rsidR="009713D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Credibilità dei dati</w:t>
      </w:r>
      <w:r>
        <w:t xml:space="preserve"> — fonti ufficiali, aggiornate e citate esplicitamente nel tool (ISTAT, </w:t>
      </w:r>
      <w:proofErr w:type="spellStart"/>
      <w:r>
        <w:t>Copernicus</w:t>
      </w:r>
      <w:proofErr w:type="spellEnd"/>
      <w:r>
        <w:t>, OMI Agenzia delle Entrate).</w:t>
      </w:r>
    </w:p>
    <w:p w14:paraId="68D08274" w14:textId="77777777" w:rsidR="009713D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Utilità pratica</w:t>
      </w:r>
      <w:r>
        <w:t xml:space="preserve"> — riduce il tempo di screening territoriale da settimane a ore, producendo una short list di comuni da approfondire.</w:t>
      </w:r>
    </w:p>
    <w:p w14:paraId="22297C0D" w14:textId="77777777" w:rsidR="009713D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Narrativa chiara</w:t>
      </w:r>
      <w:r>
        <w:t xml:space="preserve"> — il tool spiega perché un comune è interessante, non si limita ad assegnargli un numero. Il punteggio deve essere decomponibile e confrontabile.</w:t>
      </w:r>
    </w:p>
    <w:p w14:paraId="2C88C562" w14:textId="77777777" w:rsidR="009713DE" w:rsidRDefault="009713DE">
      <w:pPr>
        <w:spacing w:before="60"/>
      </w:pPr>
    </w:p>
    <w:p w14:paraId="1608FF18" w14:textId="77777777" w:rsidR="009713DE" w:rsidRDefault="00000000">
      <w:pPr>
        <w:spacing w:before="60" w:after="80"/>
      </w:pPr>
      <w:r>
        <w:t>Non è richiesto nell’MVP:</w:t>
      </w:r>
    </w:p>
    <w:p w14:paraId="722F01EC" w14:textId="77777777" w:rsidR="009713DE" w:rsidRDefault="009713DE">
      <w:pPr>
        <w:spacing w:before="20"/>
      </w:pPr>
    </w:p>
    <w:p w14:paraId="1069C282" w14:textId="77777777" w:rsidR="009713DE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Un modello finanziario completo (IRR, DCF, analisi di </w:t>
      </w:r>
      <w:proofErr w:type="spellStart"/>
      <w:r>
        <w:t>sensitivà</w:t>
      </w:r>
      <w:proofErr w:type="spellEnd"/>
      <w:r>
        <w:t>).</w:t>
      </w:r>
    </w:p>
    <w:p w14:paraId="4457ADCC" w14:textId="77777777" w:rsidR="009713DE" w:rsidRDefault="00000000">
      <w:pPr>
        <w:pStyle w:val="Paragrafoelenco"/>
        <w:numPr>
          <w:ilvl w:val="0"/>
          <w:numId w:val="2"/>
        </w:numPr>
        <w:spacing w:before="40" w:after="40"/>
      </w:pPr>
      <w:r>
        <w:t>Dati urbanistici a livello di singolo lotto (PRG dettagliato).</w:t>
      </w:r>
    </w:p>
    <w:p w14:paraId="72B34A44" w14:textId="77777777" w:rsidR="009713DE" w:rsidRDefault="00000000">
      <w:pPr>
        <w:pStyle w:val="Paragrafoelenco"/>
        <w:numPr>
          <w:ilvl w:val="0"/>
          <w:numId w:val="2"/>
        </w:numPr>
        <w:spacing w:before="40" w:after="40"/>
      </w:pPr>
      <w:r>
        <w:t>Copertura di tutte le 20 regioni italiane.</w:t>
      </w:r>
    </w:p>
    <w:p w14:paraId="633506C4" w14:textId="77777777" w:rsidR="009713DE" w:rsidRDefault="00000000">
      <w:pPr>
        <w:pStyle w:val="Paragrafoelenco"/>
        <w:numPr>
          <w:ilvl w:val="0"/>
          <w:numId w:val="2"/>
        </w:numPr>
        <w:spacing w:before="40" w:after="40"/>
      </w:pPr>
      <w:r>
        <w:t>Autenticazione utenti e multi-</w:t>
      </w:r>
      <w:proofErr w:type="spellStart"/>
      <w:r>
        <w:t>tenancy</w:t>
      </w:r>
      <w:proofErr w:type="spellEnd"/>
      <w:r>
        <w:t>.</w:t>
      </w:r>
    </w:p>
    <w:p w14:paraId="045174FC" w14:textId="77777777" w:rsidR="009713DE" w:rsidRDefault="009713DE">
      <w:pPr>
        <w:spacing w:before="60"/>
      </w:pPr>
    </w:p>
    <w:p w14:paraId="44018A9D" w14:textId="77777777" w:rsidR="009713DE" w:rsidRDefault="00000000">
      <w:pPr>
        <w:spacing w:before="60" w:after="80"/>
      </w:pPr>
      <w:r>
        <w:t>Il posizionamento corretto è: “strumento di Fase 1 per lo screening territoriale”, complementare (non sostitutivo) alla due diligence approfondita che segue.</w:t>
      </w:r>
    </w:p>
    <w:p w14:paraId="0A2F832D" w14:textId="77777777" w:rsidR="009713DE" w:rsidRDefault="009713DE">
      <w:pPr>
        <w:spacing w:before="40"/>
      </w:pPr>
    </w:p>
    <w:p w14:paraId="5BC81C87" w14:textId="77777777" w:rsidR="009713DE" w:rsidRDefault="00000000">
      <w:pPr>
        <w:pStyle w:val="Titolo1"/>
        <w:pBdr>
          <w:bottom w:val="single" w:sz="8" w:space="4" w:color="2E75B6"/>
        </w:pBdr>
      </w:pPr>
      <w:r>
        <w:t>3. Gap Analysis</w:t>
      </w:r>
    </w:p>
    <w:p w14:paraId="26FB5650" w14:textId="77777777" w:rsidR="009713DE" w:rsidRDefault="00000000">
      <w:pPr>
        <w:spacing w:before="60" w:after="80"/>
      </w:pPr>
      <w:r>
        <w:t xml:space="preserve">La tabella seguente elenca i </w:t>
      </w:r>
      <w:proofErr w:type="gramStart"/>
      <w:r>
        <w:t>gap</w:t>
      </w:r>
      <w:proofErr w:type="gramEnd"/>
      <w:r>
        <w:t xml:space="preserve"> identificati rispetto alle esigenze di una SGR, con valutazione di impatto, difficoltà tecnica e priorità di intervento.</w:t>
      </w:r>
    </w:p>
    <w:p w14:paraId="132B0ACA" w14:textId="77777777" w:rsidR="009713DE" w:rsidRDefault="009713D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1200"/>
        <w:gridCol w:w="1400"/>
        <w:gridCol w:w="1760"/>
      </w:tblGrid>
      <w:tr w:rsidR="009713DE" w14:paraId="14156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9A50C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Gap identificato</w:t>
            </w:r>
          </w:p>
        </w:tc>
        <w:tc>
          <w:tcPr>
            <w:tcW w:w="1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DAA02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Impatto</w:t>
            </w:r>
          </w:p>
        </w:tc>
        <w:tc>
          <w:tcPr>
            <w:tcW w:w="1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FD0BD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Difficoltà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7BD79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Priorità</w:t>
            </w:r>
          </w:p>
        </w:tc>
        <w:tc>
          <w:tcPr>
            <w:tcW w:w="17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AA7D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</w:tr>
      <w:tr w:rsidR="009713DE" w14:paraId="7A9BFC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7FCBD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Roma Capitale esclusa dal ranking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7A2FF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4DD4A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A32C0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Immediata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9EBE8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</w:tr>
      <w:tr w:rsidR="009713DE" w14:paraId="49036E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DA13A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Dati OMI datati (semestre 2018)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F0A4E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B432E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D0451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71A5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</w:tr>
      <w:tr w:rsidR="009713DE" w14:paraId="7D92D4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BC0B8" w14:textId="77777777" w:rsidR="009713DE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Opportunity</w:t>
            </w:r>
            <w:proofErr w:type="spellEnd"/>
            <w:r>
              <w:rPr>
                <w:sz w:val="20"/>
                <w:szCs w:val="20"/>
              </w:rPr>
              <w:t xml:space="preserve"> Score non esplicitato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D22F0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Medio</w:t>
            </w:r>
          </w:p>
        </w:tc>
        <w:tc>
          <w:tcPr>
            <w:tcW w:w="12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2580E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0F7E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418A9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</w:tr>
      <w:tr w:rsidR="009713DE" w14:paraId="759C68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2DD2F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Export / salvataggio analisi assente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C0141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Medio</w:t>
            </w:r>
          </w:p>
        </w:tc>
        <w:tc>
          <w:tcPr>
            <w:tcW w:w="12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08C1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1D4C3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C3866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</w:tr>
      <w:tr w:rsidR="009713DE" w14:paraId="52DC8A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8F44B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UI/UX non professionale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9852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Medio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048AC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0C1E2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AB4F3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</w:tr>
      <w:tr w:rsidR="009713DE" w14:paraId="6AC0E6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80BC8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Nessun indicatore di rischio sismico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8E5BA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1E3F7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5AF1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7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48BB7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</w:tr>
      <w:tr w:rsidR="009713DE" w14:paraId="2528711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C93B1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Nessun indicatore di rischio idrogeologico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A9A41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CAF38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AB7A2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7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395D8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</w:tr>
      <w:tr w:rsidR="009713DE" w14:paraId="5810E1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63461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Granularità solo comunale (troppo grossa)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1E3F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9026B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EB12B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7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F807C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</w:tr>
      <w:tr w:rsidR="009713DE" w14:paraId="5A7BF1C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80283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Copertura limitata a 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regioni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52506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Medio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A0AF5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3202F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7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69A57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</w:tr>
      <w:tr w:rsidR="009713DE" w14:paraId="18381A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6D733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Nessun filtro per rischio nella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A80E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Medio</w:t>
            </w:r>
          </w:p>
        </w:tc>
        <w:tc>
          <w:tcPr>
            <w:tcW w:w="12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E378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4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C7040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7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B1240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</w:tr>
      <w:tr w:rsidR="009713DE" w14:paraId="35603E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29C95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Calcolo rendimento atteso assente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DD0E7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40069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0BBD2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254E8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</w:tr>
      <w:tr w:rsidR="009713DE" w14:paraId="23C307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B3FEB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Export report PDF completo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FEC7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Medio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DDB0D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97BDA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Media</w:t>
            </w:r>
          </w:p>
        </w:tc>
        <w:tc>
          <w:tcPr>
            <w:tcW w:w="1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5D3F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</w:tr>
      <w:tr w:rsidR="009713DE" w14:paraId="2ABA7D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26CAE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Dati urbanistici (PRG, aree edificabili)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00130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A6E32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Molto alta</w:t>
            </w:r>
          </w:p>
        </w:tc>
        <w:tc>
          <w:tcPr>
            <w:tcW w:w="14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2533F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084FC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</w:tr>
      <w:tr w:rsidR="009713DE" w14:paraId="148E80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A77D0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Infrastrutture programmate (PNRR, MIT)</w:t>
            </w:r>
          </w:p>
        </w:tc>
        <w:tc>
          <w:tcPr>
            <w:tcW w:w="1200" w:type="dxa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34858" w14:textId="77777777" w:rsidR="009713DE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Medio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B3361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F0128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C2B1A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</w:tr>
      <w:tr w:rsidR="009713DE" w14:paraId="6A1B97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3EC85" w14:textId="77777777" w:rsidR="009713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Copertura nazionale (20 regioni)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5728C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Alto</w:t>
            </w:r>
          </w:p>
        </w:tc>
        <w:tc>
          <w:tcPr>
            <w:tcW w:w="1200" w:type="dxa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84297" w14:textId="77777777" w:rsidR="009713DE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D4EDDA"/>
              <w:left w:val="single" w:sz="1" w:space="0" w:color="D4EDDA"/>
              <w:bottom w:val="single" w:sz="1" w:space="0" w:color="D4EDDA"/>
              <w:right w:val="single" w:sz="1" w:space="0" w:color="D4EDD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FA3F9" w14:textId="77777777" w:rsidR="009713DE" w:rsidRDefault="00000000">
            <w:pPr>
              <w:jc w:val="center"/>
            </w:pPr>
            <w:r>
              <w:rPr>
                <w:b/>
                <w:bCs/>
                <w:color w:val="1A5C3A"/>
                <w:sz w:val="20"/>
                <w:szCs w:val="20"/>
              </w:rPr>
              <w:t>Bassa</w:t>
            </w:r>
          </w:p>
        </w:tc>
        <w:tc>
          <w:tcPr>
            <w:tcW w:w="1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70BB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</w:tr>
    </w:tbl>
    <w:p w14:paraId="3F9822E5" w14:textId="77777777" w:rsidR="009713DE" w:rsidRDefault="00000000">
      <w:r>
        <w:br w:type="page"/>
      </w:r>
    </w:p>
    <w:p w14:paraId="4A7F75BF" w14:textId="77777777" w:rsidR="009713DE" w:rsidRDefault="00000000">
      <w:pPr>
        <w:pStyle w:val="Titolo1"/>
        <w:pBdr>
          <w:bottom w:val="single" w:sz="8" w:space="4" w:color="2E75B6"/>
        </w:pBdr>
      </w:pPr>
      <w:r>
        <w:lastRenderedPageBreak/>
        <w:t>4. Piano Evolutivo</w:t>
      </w:r>
    </w:p>
    <w:p w14:paraId="16D4EFF7" w14:textId="77777777" w:rsidR="009713DE" w:rsidRDefault="00000000">
      <w:pPr>
        <w:spacing w:before="60" w:after="80"/>
      </w:pPr>
      <w:r>
        <w:t>Il piano è articolato in tre fasi progressive. Ogni fase è progettata per essere dimostrabile e autonoma: al termine di ciascuna il tool è utilizzabile e migliorato rispetto alla fase precedente.</w:t>
      </w:r>
    </w:p>
    <w:p w14:paraId="02068677" w14:textId="77777777" w:rsidR="009713DE" w:rsidRDefault="009713DE">
      <w:pPr>
        <w:spacing w:before="80"/>
      </w:pPr>
    </w:p>
    <w:p w14:paraId="4F612B64" w14:textId="77777777" w:rsidR="009713DE" w:rsidRDefault="00000000">
      <w:pPr>
        <w:pStyle w:val="Titolo2"/>
      </w:pPr>
      <w:r>
        <w:t xml:space="preserve">Fase 0 — Quick </w:t>
      </w:r>
      <w:proofErr w:type="spellStart"/>
      <w:r>
        <w:t>Wins</w:t>
      </w:r>
      <w:proofErr w:type="spellEnd"/>
      <w:r>
        <w:t xml:space="preserve">   |   Stima: 1–2 settimane</w:t>
      </w:r>
    </w:p>
    <w:p w14:paraId="5DCA82F4" w14:textId="77777777" w:rsidR="009713DE" w:rsidRDefault="00000000">
      <w:pPr>
        <w:spacing w:before="60" w:after="80"/>
      </w:pPr>
      <w:r>
        <w:t>Interventi a basso sforzo e alto impatto sulla credibilità del tool. Nessuna nuova fonte dati esterna richiesta.</w:t>
      </w:r>
    </w:p>
    <w:p w14:paraId="3D0EC380" w14:textId="77777777" w:rsidR="009713DE" w:rsidRDefault="009713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1"/>
        <w:gridCol w:w="2460"/>
        <w:gridCol w:w="840"/>
        <w:gridCol w:w="3199"/>
      </w:tblGrid>
      <w:tr w:rsidR="009713DE" w14:paraId="0A66B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6EDED0" w14:textId="77777777" w:rsidR="009713DE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FASE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Quick </w:t>
            </w: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Wins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1–2 settimane</w:t>
            </w:r>
          </w:p>
        </w:tc>
      </w:tr>
      <w:tr w:rsidR="009713DE" w14:paraId="3B601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13E06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Intervento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53EC0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Fonte dati / Libreria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52C09" w14:textId="77777777" w:rsidR="009713D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Effort</w:t>
            </w:r>
            <w:proofErr w:type="spellEnd"/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71869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Note</w:t>
            </w:r>
          </w:p>
        </w:tc>
      </w:tr>
      <w:tr w:rsidR="009713DE" w14:paraId="7AB33CF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CE0FC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Roma Capitale nel ranking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019B5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Dataset esistente (fix esclusione)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71FD4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0.5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CD139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Roma è già nel JSON ma filtrata dalla vista principale. Rimuovere l’esclusione o gestirla con flag esplicito.</w:t>
            </w:r>
          </w:p>
        </w:tc>
      </w:tr>
      <w:tr w:rsidR="009713DE" w14:paraId="5BDBB4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5BD18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Aggiornamento dati OMI (2024)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42FF1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ondata GitHub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mirror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FEB73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84569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Aggiornare </w:t>
            </w:r>
            <w:proofErr w:type="gramStart"/>
            <w:r>
              <w:rPr>
                <w:color w:val="555555"/>
                <w:sz w:val="20"/>
                <w:szCs w:val="20"/>
              </w:rPr>
              <w:t>il pipeline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Python al semestre più recente disponibile (2024 S1 o S2). La struttura è identica.</w:t>
            </w:r>
          </w:p>
        </w:tc>
      </w:tr>
      <w:tr w:rsidR="009713DE" w14:paraId="61EBEA5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A2BD0" w14:textId="77777777" w:rsidR="009713DE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1"/>
                <w:szCs w:val="21"/>
              </w:rPr>
              <w:t>Opportunity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F92F2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Calcolo interno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5133A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F4C39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gap = </w:t>
            </w:r>
            <w:proofErr w:type="spellStart"/>
            <w:r>
              <w:rPr>
                <w:color w:val="555555"/>
                <w:sz w:val="20"/>
                <w:szCs w:val="20"/>
              </w:rPr>
              <w:t>prospectScore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− </w:t>
            </w:r>
            <w:proofErr w:type="spellStart"/>
            <w:r>
              <w:rPr>
                <w:color w:val="555555"/>
                <w:sz w:val="20"/>
                <w:szCs w:val="20"/>
              </w:rPr>
              <w:t>pricePercentile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(0–100). Mostrarlo nel </w:t>
            </w:r>
            <w:proofErr w:type="spellStart"/>
            <w:r>
              <w:rPr>
                <w:color w:val="555555"/>
                <w:sz w:val="20"/>
                <w:szCs w:val="20"/>
              </w:rPr>
              <w:t>DetailPanel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come indicatore primario con label esplicita (es. “Fondamentali vs. Prezzo”).</w:t>
            </w:r>
          </w:p>
        </w:tc>
      </w:tr>
      <w:tr w:rsidR="009713DE" w14:paraId="7D0C30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B09D1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 xml:space="preserve">Export PNG del </w:t>
            </w:r>
            <w:proofErr w:type="spellStart"/>
            <w:r>
              <w:rPr>
                <w:b/>
                <w:bCs/>
                <w:sz w:val="21"/>
                <w:szCs w:val="21"/>
              </w:rPr>
              <w:t>DetailPanel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45F75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html2canvas +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jsPDF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EDEC1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43E05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Pulsante ‘Esporta scheda’ nel pannello laterale. Cattura il DOM e genera un’immagine o PDF scaricabile.</w:t>
            </w:r>
          </w:p>
        </w:tc>
      </w:tr>
      <w:tr w:rsidR="009713DE" w14:paraId="1F4BB4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0E479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 xml:space="preserve">UI </w:t>
            </w:r>
            <w:proofErr w:type="spellStart"/>
            <w:r>
              <w:rPr>
                <w:b/>
                <w:bCs/>
                <w:sz w:val="21"/>
                <w:szCs w:val="21"/>
              </w:rPr>
              <w:t>polish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9EB12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CSS / design system interno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BE7B5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4E03E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Logo, palette professionale, tipografia coerente, stato vuoto esplicito. Il tool deve sembrare finito, non un prototipo.</w:t>
            </w:r>
          </w:p>
        </w:tc>
      </w:tr>
      <w:tr w:rsidR="009713DE" w14:paraId="27BD52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4428F" w14:textId="77777777" w:rsidR="009713DE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1"/>
                <w:szCs w:val="21"/>
              </w:rPr>
              <w:t>Deploy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su </w:t>
            </w:r>
            <w:proofErr w:type="spellStart"/>
            <w:r>
              <w:rPr>
                <w:b/>
                <w:bCs/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A46CF" w14:textId="77777777" w:rsidR="009713DE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Vercel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(free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tier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B4B64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0.5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80D27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Collegare il repo GitHub a </w:t>
            </w:r>
            <w:proofErr w:type="spellStart"/>
            <w:r>
              <w:rPr>
                <w:color w:val="555555"/>
                <w:sz w:val="20"/>
                <w:szCs w:val="20"/>
              </w:rPr>
              <w:t>Vercel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automatico ad ogni </w:t>
            </w:r>
            <w:proofErr w:type="spellStart"/>
            <w:r>
              <w:rPr>
                <w:color w:val="555555"/>
                <w:sz w:val="20"/>
                <w:szCs w:val="20"/>
              </w:rPr>
              <w:t>push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su </w:t>
            </w:r>
            <w:proofErr w:type="spellStart"/>
            <w:r>
              <w:rPr>
                <w:color w:val="555555"/>
                <w:sz w:val="20"/>
                <w:szCs w:val="20"/>
              </w:rPr>
              <w:t>main</w:t>
            </w:r>
            <w:proofErr w:type="spellEnd"/>
            <w:r>
              <w:rPr>
                <w:color w:val="555555"/>
                <w:sz w:val="20"/>
                <w:szCs w:val="20"/>
              </w:rPr>
              <w:t>. URL pubblico condivisibile.</w:t>
            </w:r>
          </w:p>
        </w:tc>
      </w:tr>
    </w:tbl>
    <w:p w14:paraId="2504A856" w14:textId="77777777" w:rsidR="009713DE" w:rsidRDefault="009713DE">
      <w:pPr>
        <w:spacing w:before="120"/>
      </w:pPr>
    </w:p>
    <w:p w14:paraId="3EBAB7BF" w14:textId="77777777" w:rsidR="009713DE" w:rsidRDefault="00000000">
      <w:pPr>
        <w:pStyle w:val="Titolo2"/>
      </w:pPr>
      <w:r>
        <w:t>Fase 1 — Core MVP   |   Stima: 4–6 settimane</w:t>
      </w:r>
    </w:p>
    <w:p w14:paraId="1C27DF53" w14:textId="77777777" w:rsidR="009713DE" w:rsidRDefault="00000000">
      <w:pPr>
        <w:spacing w:before="60" w:after="80"/>
      </w:pPr>
      <w:r>
        <w:t xml:space="preserve">Aggiunta delle feature essenziali per la credibilità di un tool di investimento immobiliare: dati di rischio, granularità geografica </w:t>
      </w:r>
      <w:proofErr w:type="gramStart"/>
      <w:r>
        <w:t>e</w:t>
      </w:r>
      <w:proofErr w:type="gramEnd"/>
      <w:r>
        <w:t xml:space="preserve"> espansione territoriale.</w:t>
      </w:r>
    </w:p>
    <w:p w14:paraId="40AF2AD3" w14:textId="77777777" w:rsidR="009713DE" w:rsidRDefault="009713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2"/>
        <w:gridCol w:w="840"/>
        <w:gridCol w:w="3200"/>
      </w:tblGrid>
      <w:tr w:rsidR="009713DE" w14:paraId="0564E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0AB8EC" w14:textId="77777777" w:rsidR="009713DE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FASE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Core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MVP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4–6 settimane</w:t>
            </w:r>
          </w:p>
        </w:tc>
      </w:tr>
      <w:tr w:rsidR="009713DE" w14:paraId="3A27D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B501A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Intervento</w:t>
            </w:r>
          </w:p>
        </w:tc>
        <w:tc>
          <w:tcPr>
            <w:tcW w:w="2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CBBCE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Fonte dati / Libreria</w:t>
            </w:r>
          </w:p>
        </w:tc>
        <w:tc>
          <w:tcPr>
            <w:tcW w:w="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D96D1" w14:textId="77777777" w:rsidR="009713D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Effort</w:t>
            </w:r>
            <w:proofErr w:type="spellEnd"/>
          </w:p>
        </w:tc>
        <w:tc>
          <w:tcPr>
            <w:tcW w:w="32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FA69F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Note</w:t>
            </w:r>
          </w:p>
        </w:tc>
      </w:tr>
      <w:tr w:rsidR="009713DE" w14:paraId="49A655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52C5C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lastRenderedPageBreak/>
              <w:t>Layer rischio sismico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383EA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INGV WMS (gratuito)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86E37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91563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Overlay sulla mappa con </w:t>
            </w:r>
            <w:proofErr w:type="gramStart"/>
            <w:r>
              <w:rPr>
                <w:color w:val="555555"/>
                <w:sz w:val="20"/>
                <w:szCs w:val="20"/>
              </w:rPr>
              <w:t>4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classi sismiche INGV. </w:t>
            </w:r>
            <w:proofErr w:type="spellStart"/>
            <w:r>
              <w:rPr>
                <w:color w:val="555555"/>
                <w:sz w:val="20"/>
                <w:szCs w:val="20"/>
              </w:rPr>
              <w:t>Toggle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ON/OFF nella </w:t>
            </w:r>
            <w:proofErr w:type="spellStart"/>
            <w:r>
              <w:rPr>
                <w:color w:val="555555"/>
                <w:sz w:val="20"/>
                <w:szCs w:val="20"/>
              </w:rPr>
              <w:t>sidebar</w:t>
            </w:r>
            <w:proofErr w:type="spellEnd"/>
            <w:r>
              <w:rPr>
                <w:color w:val="555555"/>
                <w:sz w:val="20"/>
                <w:szCs w:val="20"/>
              </w:rPr>
              <w:t>. Filtro ‘mostra solo classe 3–4’.</w:t>
            </w:r>
          </w:p>
        </w:tc>
      </w:tr>
      <w:tr w:rsidR="009713DE" w14:paraId="24D9D15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A37B8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Layer rischio idrogeologico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8352F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ISPRA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IdroGEO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REST API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D0D69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85DF8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Indicatore di rischio frane/alluvioni per comune. JOIN su ISTAT 6 cifre (già disponibile </w:t>
            </w:r>
            <w:proofErr w:type="gramStart"/>
            <w:r>
              <w:rPr>
                <w:color w:val="555555"/>
                <w:sz w:val="20"/>
                <w:szCs w:val="20"/>
              </w:rPr>
              <w:t>nel pipeline</w:t>
            </w:r>
            <w:proofErr w:type="gram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  <w:tr w:rsidR="009713DE" w14:paraId="16819DC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156DD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 xml:space="preserve">Filtro rischio nella </w:t>
            </w:r>
            <w:proofErr w:type="spellStart"/>
            <w:r>
              <w:rPr>
                <w:b/>
                <w:bCs/>
                <w:sz w:val="21"/>
                <w:szCs w:val="21"/>
              </w:rPr>
              <w:t>sidebar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E4F14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UI + dati Fase 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C703C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A6997" w14:textId="77777777" w:rsidR="009713DE" w:rsidRDefault="00000000">
            <w:pPr>
              <w:spacing w:before="60" w:after="60"/>
            </w:pPr>
            <w:proofErr w:type="spellStart"/>
            <w:r>
              <w:rPr>
                <w:color w:val="555555"/>
                <w:sz w:val="20"/>
                <w:szCs w:val="20"/>
              </w:rPr>
              <w:t>Checkbox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‘Escludi comuni ad alto </w:t>
            </w:r>
            <w:proofErr w:type="spellStart"/>
            <w:r>
              <w:rPr>
                <w:color w:val="555555"/>
                <w:sz w:val="20"/>
                <w:szCs w:val="20"/>
              </w:rPr>
              <w:t>rischio’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che filtra il ranking in tempo reale, come già fatto per infrastrutture.</w:t>
            </w:r>
          </w:p>
        </w:tc>
      </w:tr>
      <w:tr w:rsidR="009713DE" w14:paraId="473CB93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D84B4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Prezzi a livello di zona OMI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8987A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OMI CSV (colonna Zona)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E44CE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26D6C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Il CSV OMI già scaricato contiene la colonna Zona. Estendere </w:t>
            </w:r>
            <w:proofErr w:type="gramStart"/>
            <w:r>
              <w:rPr>
                <w:color w:val="555555"/>
                <w:sz w:val="20"/>
                <w:szCs w:val="20"/>
              </w:rPr>
              <w:t>il pipeline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per mantenere la granularità e mostrare la mappa delle zone nel </w:t>
            </w:r>
            <w:proofErr w:type="spellStart"/>
            <w:r>
              <w:rPr>
                <w:color w:val="555555"/>
                <w:sz w:val="20"/>
                <w:szCs w:val="20"/>
              </w:rPr>
              <w:t>DetailPanel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713DE" w14:paraId="36DF96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ABC9C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Espansione geografica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2A501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Stesso pipeline esistente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10CA1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E3A4E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Aggiungere Lombardia, Piemonte, Veneto (le più richieste da SGR nordiste). Richiede </w:t>
            </w:r>
            <w:proofErr w:type="spellStart"/>
            <w:r>
              <w:rPr>
                <w:color w:val="555555"/>
                <w:sz w:val="20"/>
                <w:szCs w:val="20"/>
              </w:rPr>
              <w:t>Copernicus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tiles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per le nuove regioni e riesecuzione pipeline OMI.</w:t>
            </w:r>
          </w:p>
        </w:tc>
      </w:tr>
      <w:tr w:rsidR="009713DE" w14:paraId="3EB0FC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FA5B8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Watchlist / confronto comuni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55F69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React state +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9F145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9D1C3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Pulsante ‘Aggiungi alla watchlist’ nel </w:t>
            </w:r>
            <w:proofErr w:type="spellStart"/>
            <w:r>
              <w:rPr>
                <w:color w:val="555555"/>
                <w:sz w:val="20"/>
                <w:szCs w:val="20"/>
              </w:rPr>
              <w:t>DetailPanel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Vista comparativa affiancata per i comuni selezionati. Persistenza locale senza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26DA8D0F" w14:textId="77777777" w:rsidR="009713DE" w:rsidRDefault="009713DE">
      <w:pPr>
        <w:spacing w:before="120"/>
      </w:pPr>
    </w:p>
    <w:p w14:paraId="296236DE" w14:textId="77777777" w:rsidR="009713DE" w:rsidRDefault="00000000">
      <w:pPr>
        <w:pStyle w:val="Titolo2"/>
      </w:pPr>
      <w:r>
        <w:t>Fase 2 — MVP Differenziato   |   Stima: 8–12 settimane</w:t>
      </w:r>
    </w:p>
    <w:p w14:paraId="37DFA1E4" w14:textId="77777777" w:rsidR="009713DE" w:rsidRDefault="00000000">
      <w:pPr>
        <w:spacing w:before="60" w:after="80"/>
      </w:pPr>
      <w:r>
        <w:t>Feature di differenziazione che trasformano il tool da strumento di screening a supporto parziale alla decisione di investimento. Alcune voci richiedono fonti dati esterne complesse.</w:t>
      </w:r>
    </w:p>
    <w:p w14:paraId="195266FF" w14:textId="77777777" w:rsidR="009713DE" w:rsidRDefault="009713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465"/>
        <w:gridCol w:w="840"/>
        <w:gridCol w:w="3200"/>
      </w:tblGrid>
      <w:tr w:rsidR="009713DE" w14:paraId="5D015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45FCD6" w14:textId="77777777" w:rsidR="009713DE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FASE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MVP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Differenziato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8–12 settimane</w:t>
            </w:r>
          </w:p>
        </w:tc>
      </w:tr>
      <w:tr w:rsidR="009713DE" w14:paraId="3A6C1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8D3C2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Intervento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078F1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Fonte dati / Libreria</w:t>
            </w:r>
          </w:p>
        </w:tc>
        <w:tc>
          <w:tcPr>
            <w:tcW w:w="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C899F" w14:textId="77777777" w:rsidR="009713D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Effort</w:t>
            </w:r>
            <w:proofErr w:type="spellEnd"/>
          </w:p>
        </w:tc>
        <w:tc>
          <w:tcPr>
            <w:tcW w:w="32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86AF6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Note</w:t>
            </w:r>
          </w:p>
        </w:tc>
      </w:tr>
      <w:tr w:rsidR="009713DE" w14:paraId="1530C9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A08F0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Calcolatore rendimento basilare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5D3EE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Logica interna + canoni OMI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004C9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47D1E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Input: costo costruzione €/mq stimato. Output: canone atteso (da tabelle OMI), </w:t>
            </w:r>
            <w:proofErr w:type="spellStart"/>
            <w:r>
              <w:rPr>
                <w:color w:val="555555"/>
                <w:sz w:val="20"/>
                <w:szCs w:val="20"/>
              </w:rPr>
              <w:t>gross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yield, </w:t>
            </w:r>
            <w:proofErr w:type="spellStart"/>
            <w:r>
              <w:rPr>
                <w:color w:val="555555"/>
                <w:sz w:val="20"/>
                <w:szCs w:val="20"/>
              </w:rPr>
              <w:t>payback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semplificato. Non un DCF, ma un indicatore rapido.</w:t>
            </w:r>
          </w:p>
        </w:tc>
      </w:tr>
      <w:tr w:rsidR="009713DE" w14:paraId="5EC7624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033E3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Export report PDF completo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337E7" w14:textId="77777777" w:rsidR="009713DE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-pdf (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PDFKit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44161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D0361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Report multi-pagina: cover, mappa snapshot, ranking filtrato, schede dei comuni in watchlist. Template con logo SGR personalizzabile.</w:t>
            </w:r>
          </w:p>
        </w:tc>
      </w:tr>
      <w:tr w:rsidR="009713DE" w14:paraId="383FA4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10C11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lastRenderedPageBreak/>
              <w:t>Autenticazione + salvataggio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8A15A" w14:textId="77777777" w:rsidR="009713DE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(free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tier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29D82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17DB0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Login </w:t>
            </w:r>
            <w:proofErr w:type="gramStart"/>
            <w:r>
              <w:rPr>
                <w:color w:val="555555"/>
                <w:sz w:val="20"/>
                <w:szCs w:val="20"/>
              </w:rPr>
              <w:t>email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magic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link. Salvataggio watchlist e pesi personalizzati per utente. Database </w:t>
            </w: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hosted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gratuito fino a 500 MB.</w:t>
            </w:r>
          </w:p>
        </w:tc>
      </w:tr>
      <w:tr w:rsidR="009713DE" w14:paraId="6C584F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DFB60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Dati PRG / aree edificabili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18BEE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Geoportale Nazionale (parziale)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2259D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9F77E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Disponibili solo per alcune regioni. Prioritizzare Lazio e Toscana. Raccolta semi-manuale tramite WMS regionali o download </w:t>
            </w:r>
            <w:proofErr w:type="spellStart"/>
            <w:r>
              <w:rPr>
                <w:color w:val="555555"/>
                <w:sz w:val="20"/>
                <w:szCs w:val="20"/>
              </w:rPr>
              <w:t>shapefile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713DE" w14:paraId="16DBA4D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05ADD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Infrastrutture programmate (PNRR)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A9AD7" w14:textId="77777777" w:rsidR="009713DE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OpenCoesione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/ MIT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2F9AD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15E4E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Overlay di investimenti infrastrutturali previsti (ferroviario, viabilità). Proxy del potenziale di rivalutazione futura.</w:t>
            </w:r>
          </w:p>
        </w:tc>
      </w:tr>
      <w:tr w:rsidR="009713DE" w14:paraId="56D61C1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0738D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Copertura nazionale completa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DA3B7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Pipeline scale-up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E85DD" w14:textId="77777777" w:rsidR="009713D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 gg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24CB9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Estensione a tutte le 20 regioni. Richiede risorse computazionali maggiori per </w:t>
            </w:r>
            <w:proofErr w:type="gramStart"/>
            <w:r>
              <w:rPr>
                <w:color w:val="555555"/>
                <w:sz w:val="20"/>
                <w:szCs w:val="20"/>
              </w:rPr>
              <w:t>il pipeline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Copernicus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 revisione della normalizzazione score.</w:t>
            </w:r>
          </w:p>
        </w:tc>
      </w:tr>
    </w:tbl>
    <w:p w14:paraId="6F0071C0" w14:textId="77777777" w:rsidR="009713DE" w:rsidRDefault="00000000">
      <w:r>
        <w:br w:type="page"/>
      </w:r>
    </w:p>
    <w:p w14:paraId="7F18B2F4" w14:textId="77777777" w:rsidR="009713DE" w:rsidRDefault="00000000">
      <w:pPr>
        <w:pStyle w:val="Titolo1"/>
        <w:pBdr>
          <w:bottom w:val="single" w:sz="8" w:space="4" w:color="2E75B6"/>
        </w:pBdr>
      </w:pPr>
      <w:r>
        <w:lastRenderedPageBreak/>
        <w:t xml:space="preserve">5. </w:t>
      </w:r>
      <w:proofErr w:type="spellStart"/>
      <w:r>
        <w:t>Stack</w:t>
      </w:r>
      <w:proofErr w:type="spellEnd"/>
      <w:r>
        <w:t xml:space="preserve"> Tecnico e Fonti Dati</w:t>
      </w:r>
    </w:p>
    <w:p w14:paraId="71964388" w14:textId="77777777" w:rsidR="009713DE" w:rsidRDefault="00000000">
      <w:pPr>
        <w:spacing w:before="60" w:after="80"/>
      </w:pPr>
      <w:r>
        <w:t xml:space="preserve">Tutte le fonti dati elencate sono gratuite e ad accesso pubblico, compatibili con un utilizzo commerciale in ambito di analisi e ricerca. L’architettura attuale (React + Vite + </w:t>
      </w:r>
      <w:proofErr w:type="spellStart"/>
      <w:r>
        <w:t>Leaflet</w:t>
      </w:r>
      <w:proofErr w:type="spellEnd"/>
      <w:r>
        <w:t xml:space="preserve"> + Python pipeline) non richiede riscritture.</w:t>
      </w:r>
    </w:p>
    <w:p w14:paraId="2CA9B337" w14:textId="77777777" w:rsidR="009713DE" w:rsidRDefault="009713D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800"/>
        <w:gridCol w:w="2960"/>
      </w:tblGrid>
      <w:tr w:rsidR="009713DE" w14:paraId="19F75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D13BC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AC319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Fonte / Libreria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B91F0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29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A87C5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Note di integrazione</w:t>
            </w:r>
          </w:p>
        </w:tc>
      </w:tr>
      <w:tr w:rsidR="009713DE" w14:paraId="019B9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77128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Rischio sismico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CE41A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INGV WMS/WFS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76162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FBF53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API REST gratuita, poligoni per classe sismica (I-IV). Integrazione via </w:t>
            </w:r>
            <w:proofErr w:type="spellStart"/>
            <w:r>
              <w:rPr>
                <w:color w:val="555555"/>
                <w:sz w:val="20"/>
                <w:szCs w:val="20"/>
              </w:rPr>
              <w:t>Leaflet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WMS </w:t>
            </w:r>
            <w:proofErr w:type="spellStart"/>
            <w:r>
              <w:rPr>
                <w:color w:val="555555"/>
                <w:sz w:val="20"/>
                <w:szCs w:val="20"/>
              </w:rPr>
              <w:t>layer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713DE" w14:paraId="48603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67CFC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Rischio idrogeologico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5A08C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ISPRA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IdroGEO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REST API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CE75C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49FB8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Endpoint pubblico. Dati frane e alluvioni per comune. Richiede JOIN su codice ISTAT.</w:t>
            </w:r>
          </w:p>
        </w:tc>
      </w:tr>
      <w:tr w:rsidR="009713DE" w14:paraId="2FBD4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31701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OMI aggiornato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65A27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ondata GitHub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mirror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D6D60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9C23C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Aggiornamento </w:t>
            </w:r>
            <w:proofErr w:type="gramStart"/>
            <w:r>
              <w:rPr>
                <w:color w:val="555555"/>
                <w:sz w:val="20"/>
                <w:szCs w:val="20"/>
              </w:rPr>
              <w:t>del pipeline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Python esistente. Basta cambiare il semestre nella URL di scarico.</w:t>
            </w:r>
          </w:p>
        </w:tc>
      </w:tr>
      <w:tr w:rsidR="009713DE" w14:paraId="557D6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AE8FD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Prezzi per zona OMI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8EB75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OMI CSV (colonna Zona)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DAE2A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F3FC0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Il CSV già scaricato contiene la colonna Zona. Pipeline da estendere per mantenere la granularità.</w:t>
            </w:r>
          </w:p>
        </w:tc>
      </w:tr>
      <w:tr w:rsidR="009713DE" w14:paraId="2F6E4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68E69" w14:textId="77777777" w:rsidR="009713DE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1"/>
                <w:szCs w:val="21"/>
              </w:rPr>
              <w:t>Opportunity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23115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Calcolo interno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1AB6C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A424C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gap = </w:t>
            </w:r>
            <w:proofErr w:type="spellStart"/>
            <w:r>
              <w:rPr>
                <w:color w:val="555555"/>
                <w:sz w:val="20"/>
                <w:szCs w:val="20"/>
              </w:rPr>
              <w:t>prospectScore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555555"/>
                <w:sz w:val="20"/>
                <w:szCs w:val="20"/>
              </w:rPr>
              <w:t>pricePercentile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(0-100). Già fattibile con i dati attuali.</w:t>
            </w:r>
          </w:p>
        </w:tc>
      </w:tr>
      <w:tr w:rsidR="009713DE" w14:paraId="6C2E18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5D086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Export PNG/PDF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D82F1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html2canvas +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jsPDF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51E5B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A7BD9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 xml:space="preserve">Librerie React. Cattura DOM del </w:t>
            </w:r>
            <w:proofErr w:type="spellStart"/>
            <w:r>
              <w:rPr>
                <w:color w:val="555555"/>
                <w:sz w:val="20"/>
                <w:szCs w:val="20"/>
              </w:rPr>
              <w:t>DetailPanel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 lo converte in immagine/PDF scaricabile.</w:t>
            </w:r>
          </w:p>
        </w:tc>
      </w:tr>
      <w:tr w:rsidR="009713DE" w14:paraId="6ECAA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1BF20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Export report completo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E0D90" w14:textId="77777777" w:rsidR="009713DE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-pdf (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PDFKit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B061B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62DE0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Template PDF con logo, tabelle, mappa screenshot. Più complesso di html2canvas.</w:t>
            </w:r>
          </w:p>
        </w:tc>
      </w:tr>
      <w:tr w:rsidR="009713DE" w14:paraId="679B3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D2DCF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Autenticazione + watchlist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35EB4" w14:textId="77777777" w:rsidR="009713DE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(free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tier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4E6A7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13E2F" w14:textId="77777777" w:rsidR="009713DE" w:rsidRDefault="00000000">
            <w:pPr>
              <w:spacing w:before="60" w:after="60"/>
            </w:pP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hosted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gratuiti fino a 500 MB. Salvataggio watchlist per utente.</w:t>
            </w:r>
          </w:p>
        </w:tc>
      </w:tr>
      <w:tr w:rsidR="009713DE" w14:paraId="6BE67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F7F78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Hosting produzione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9F85B" w14:textId="77777777" w:rsidR="009713DE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9AC20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D2523" w14:textId="77777777" w:rsidR="009713DE" w:rsidRDefault="00000000">
            <w:pPr>
              <w:spacing w:before="60" w:after="60"/>
            </w:pPr>
            <w:proofErr w:type="spell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automatico da GitHub. Free </w:t>
            </w:r>
            <w:proofErr w:type="spellStart"/>
            <w:r>
              <w:rPr>
                <w:color w:val="555555"/>
                <w:sz w:val="20"/>
                <w:szCs w:val="20"/>
              </w:rPr>
              <w:t>tier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sufficiente per un MVP. Dominio custom opzionale.</w:t>
            </w:r>
          </w:p>
        </w:tc>
      </w:tr>
      <w:tr w:rsidR="009713DE" w14:paraId="5B67C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BF2F4" w14:textId="77777777" w:rsidR="009713DE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Dati PRG / edificabilità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434DC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Geoportale Nazionale (parziale)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CBAEF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C2297" w14:textId="77777777" w:rsidR="009713DE" w:rsidRDefault="00000000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Disponibili solo per alcune regioni. Raccolta manuale per le prioritarie (Lazio, Toscana).</w:t>
            </w:r>
          </w:p>
        </w:tc>
      </w:tr>
    </w:tbl>
    <w:p w14:paraId="36E7BE67" w14:textId="77777777" w:rsidR="009713DE" w:rsidRDefault="009713DE">
      <w:pPr>
        <w:spacing w:before="60"/>
      </w:pPr>
    </w:p>
    <w:p w14:paraId="7380345B" w14:textId="77777777" w:rsidR="009713DE" w:rsidRDefault="00000000">
      <w:pPr>
        <w:spacing w:before="60" w:after="80"/>
      </w:pPr>
      <w:r>
        <w:rPr>
          <w:b/>
          <w:bCs/>
        </w:rPr>
        <w:t>Nota sui costi:</w:t>
      </w:r>
    </w:p>
    <w:p w14:paraId="18657714" w14:textId="77777777" w:rsidR="009713DE" w:rsidRDefault="00000000">
      <w:pPr>
        <w:spacing w:before="60" w:after="80"/>
      </w:pPr>
      <w:r>
        <w:lastRenderedPageBreak/>
        <w:t>Il tool può operare a costo zero in Fase 0 e Fase 1 (</w:t>
      </w:r>
      <w:proofErr w:type="spellStart"/>
      <w:r>
        <w:t>Vercel</w:t>
      </w:r>
      <w:proofErr w:type="spellEnd"/>
      <w:r>
        <w:t xml:space="preserve"> free, dati pubblici, nessun </w:t>
      </w:r>
      <w:proofErr w:type="spellStart"/>
      <w:r>
        <w:t>backend</w:t>
      </w:r>
      <w:proofErr w:type="spellEnd"/>
      <w:r>
        <w:t xml:space="preserve">). In Fase 2 il costo rimane contenuto: </w:t>
      </w:r>
      <w:proofErr w:type="spellStart"/>
      <w:r>
        <w:t>Supabase</w:t>
      </w:r>
      <w:proofErr w:type="spellEnd"/>
      <w:r>
        <w:t xml:space="preserve"> free </w:t>
      </w:r>
      <w:proofErr w:type="spellStart"/>
      <w:r>
        <w:t>tier</w:t>
      </w:r>
      <w:proofErr w:type="spellEnd"/>
      <w:r>
        <w:t xml:space="preserve"> è sufficiente per un MVP con pochi utenti; il passaggio a piano Pro (‘10/mese) avviene solo se la base utenti cresce.</w:t>
      </w:r>
    </w:p>
    <w:p w14:paraId="07960306" w14:textId="77777777" w:rsidR="009713DE" w:rsidRDefault="009713DE">
      <w:pPr>
        <w:spacing w:before="40"/>
      </w:pPr>
    </w:p>
    <w:p w14:paraId="20FEBEF8" w14:textId="77777777" w:rsidR="009713DE" w:rsidRDefault="00000000">
      <w:pPr>
        <w:pStyle w:val="Titolo1"/>
        <w:pBdr>
          <w:bottom w:val="single" w:sz="8" w:space="4" w:color="2E75B6"/>
        </w:pBdr>
      </w:pPr>
      <w:r>
        <w:t>6. KPI di Successo e Criteri di Accettazione</w:t>
      </w:r>
    </w:p>
    <w:p w14:paraId="67F0F600" w14:textId="77777777" w:rsidR="009713DE" w:rsidRDefault="00000000">
      <w:pPr>
        <w:spacing w:before="60" w:after="80"/>
      </w:pPr>
      <w:r>
        <w:t>L’MVP è considerato raggiunto quando tutti i KPI di Fase 0 e Fase 1 sono soddisfatti. I KPI di Fase 2 definiscono il prodotto completo.</w:t>
      </w:r>
    </w:p>
    <w:p w14:paraId="221A49E6" w14:textId="77777777" w:rsidR="009713DE" w:rsidRDefault="009713D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000"/>
        <w:gridCol w:w="2000"/>
        <w:gridCol w:w="1960"/>
      </w:tblGrid>
      <w:tr w:rsidR="009713DE" w14:paraId="640A8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1C59C" w14:textId="77777777" w:rsidR="009713DE" w:rsidRDefault="009713DE"/>
        </w:tc>
        <w:tc>
          <w:tcPr>
            <w:tcW w:w="5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6CF56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KPI</w:t>
            </w:r>
          </w:p>
        </w:tc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CCBAB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19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E2627" w14:textId="77777777" w:rsidR="009713DE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9713DE" w14:paraId="7FD689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2FD1178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3E583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Roma Capitale visibile nel ranking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89FEB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BD63C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3594E5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4713451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10621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Dati OMI con semestre &lt;= 12 mesi di anzianità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FFBF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42179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27C774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C3C7CC3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B06EE" w14:textId="77777777" w:rsidR="009713DE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Opportunity</w:t>
            </w:r>
            <w:proofErr w:type="spellEnd"/>
            <w:r>
              <w:rPr>
                <w:sz w:val="21"/>
                <w:szCs w:val="21"/>
              </w:rPr>
              <w:t xml:space="preserve"> Score calcolato e visibile nel </w:t>
            </w:r>
            <w:proofErr w:type="spellStart"/>
            <w:r>
              <w:rPr>
                <w:sz w:val="21"/>
                <w:szCs w:val="21"/>
              </w:rPr>
              <w:t>DetailPanel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93E2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6FA26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3FE151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9D5ACC8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24AC1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Export funzionante (almeno PNG del pannello)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A7646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8430E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220B68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2116CEF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CD342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UI utilizzabile da un analista senza spiegazioni verbali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5AEE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A08AC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0E49ED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AB137EC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B1FEA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Layer rischio sismico sovrapposto alla mappa</w:t>
            </w:r>
          </w:p>
        </w:tc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44348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5CA97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4C45D7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536ACB8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F798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Layer rischio idrogeologico sovrapposto alla mappa</w:t>
            </w:r>
          </w:p>
        </w:tc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35984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DC185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2E0A64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E641900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FE566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Prezzi mostrati a livello di zona OMI (non solo media comunale)</w:t>
            </w:r>
          </w:p>
        </w:tc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05012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CB076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78AB47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FB4CCBB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F07D6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Copertura &gt;= 6 regioni italiane</w:t>
            </w:r>
          </w:p>
        </w:tc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C77C7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C01BB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7038B1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DD3F7C1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48740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Filtro per classe di rischio funzionante nella </w:t>
            </w:r>
            <w:proofErr w:type="spellStart"/>
            <w:r>
              <w:rPr>
                <w:sz w:val="21"/>
                <w:szCs w:val="21"/>
              </w:rPr>
              <w:t>sidebar</w:t>
            </w:r>
            <w:proofErr w:type="spellEnd"/>
          </w:p>
        </w:tc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55774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8AF45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2A1975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9FA6CE5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07B1D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Calcolatore yield basilare (input costruzione, output canone/rendimento)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FCCEC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534DA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3572E2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DAE1B1F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34257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Export report PDF completo con dettaglio comune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4C16D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D2074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  <w:tr w:rsidR="009713DE" w14:paraId="3365E4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35F72FF" w14:textId="77777777" w:rsidR="009713DE" w:rsidRDefault="00000000">
            <w:pPr>
              <w:jc w:val="center"/>
            </w:pPr>
            <w:r>
              <w:t>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B52C3" w14:textId="77777777" w:rsidR="009713DE" w:rsidRDefault="00000000">
            <w:pPr>
              <w:spacing w:before="60" w:after="60"/>
            </w:pPr>
            <w:r>
              <w:rPr>
                <w:sz w:val="21"/>
                <w:szCs w:val="21"/>
              </w:rPr>
              <w:t>Autenticazione e salvataggio watchlist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2F089" w14:textId="77777777" w:rsidR="00971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 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28E9D" w14:textId="77777777" w:rsidR="009713DE" w:rsidRDefault="00000000">
            <w:pPr>
              <w:spacing w:before="60"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Da completare</w:t>
            </w:r>
          </w:p>
        </w:tc>
      </w:tr>
    </w:tbl>
    <w:p w14:paraId="66FC80BB" w14:textId="77777777" w:rsidR="009713DE" w:rsidRDefault="009713DE">
      <w:pPr>
        <w:spacing w:before="80"/>
      </w:pPr>
    </w:p>
    <w:p w14:paraId="7FE36B88" w14:textId="77777777" w:rsidR="009713DE" w:rsidRDefault="00000000">
      <w:pPr>
        <w:pStyle w:val="Titolo1"/>
        <w:pBdr>
          <w:bottom w:val="single" w:sz="8" w:space="4" w:color="2E75B6"/>
        </w:pBdr>
      </w:pPr>
      <w:r>
        <w:t>7. Posizionamento e Note Finali</w:t>
      </w:r>
    </w:p>
    <w:p w14:paraId="52A14C4C" w14:textId="77777777" w:rsidR="009713DE" w:rsidRDefault="00000000">
      <w:pPr>
        <w:spacing w:before="60" w:after="80"/>
      </w:pPr>
      <w:r>
        <w:t xml:space="preserve">Urban </w:t>
      </w:r>
      <w:proofErr w:type="spellStart"/>
      <w:r>
        <w:t>Prospect</w:t>
      </w:r>
      <w:proofErr w:type="spellEnd"/>
      <w:r>
        <w:t xml:space="preserve"> si posiziona come strumento di Fase 1 — screening e generazione di idee — nel processo di investimento di una SGR. Non sostituisce la due diligence urbanistica, legale e finanziaria, ma la prepara: riduce l’universo da 1.000+ comuni a una short list di 20–30 su cui concentrare le risorse.</w:t>
      </w:r>
    </w:p>
    <w:p w14:paraId="10F8DE3F" w14:textId="77777777" w:rsidR="009713DE" w:rsidRDefault="009713DE">
      <w:pPr>
        <w:spacing w:before="60"/>
      </w:pPr>
    </w:p>
    <w:p w14:paraId="3672DA2C" w14:textId="77777777" w:rsidR="009713DE" w:rsidRDefault="00000000">
      <w:pPr>
        <w:spacing w:before="60" w:after="80"/>
      </w:pPr>
      <w:r>
        <w:lastRenderedPageBreak/>
        <w:t xml:space="preserve">Il principale vantaggio competitivo è la combinazione di indicatori non tipicamente usati nel </w:t>
      </w:r>
      <w:proofErr w:type="spellStart"/>
      <w:r>
        <w:t>real</w:t>
      </w:r>
      <w:proofErr w:type="spellEnd"/>
      <w:r>
        <w:t xml:space="preserve"> estate convenzionale (impermeabilizzazione, copertura arborea) con dati di mercato (OMI) e accessibilità. Questo framework è particolarmente rilevante per SGR che gestiscono fondi con un mandato ESG o che puntano su asset in località sub-urbane e periurbane.</w:t>
      </w:r>
    </w:p>
    <w:p w14:paraId="6F28A82B" w14:textId="77777777" w:rsidR="009713DE" w:rsidRDefault="009713DE">
      <w:pPr>
        <w:spacing w:before="60"/>
      </w:pPr>
    </w:p>
    <w:p w14:paraId="05C85FD4" w14:textId="77777777" w:rsidR="009713DE" w:rsidRDefault="00000000">
      <w:pPr>
        <w:spacing w:before="60" w:after="80"/>
      </w:pPr>
      <w:r>
        <w:t>La progressività del piano garantisce che ogni fase produca un output dimostrabile e utile: al termine della Fase 0 il tool è già presentabile in una prima conversazione esplorativa con un potenziale cliente SGR.</w:t>
      </w:r>
    </w:p>
    <w:p w14:paraId="7310F233" w14:textId="77777777" w:rsidR="009713DE" w:rsidRDefault="009713D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13DE" w14:paraId="2F3BE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28727B" w14:textId="77777777" w:rsidR="009713DE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Legenda </w:t>
            </w:r>
            <w:proofErr w:type="spellStart"/>
            <w:r>
              <w:rPr>
                <w:b/>
                <w:bCs/>
                <w:sz w:val="21"/>
                <w:szCs w:val="21"/>
              </w:rPr>
              <w:t>effort</w:t>
            </w:r>
            <w:proofErr w:type="spellEnd"/>
          </w:p>
          <w:p w14:paraId="66BCBE5C" w14:textId="77777777" w:rsidR="009713DE" w:rsidRDefault="00000000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Gli </w:t>
            </w:r>
            <w:proofErr w:type="spellStart"/>
            <w:r>
              <w:rPr>
                <w:color w:val="555555"/>
                <w:sz w:val="20"/>
                <w:szCs w:val="20"/>
              </w:rPr>
              <w:t>effort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sono stime per 1 sviluppatore a tempo pieno. Possono variare in base alla familiarità con le API e alla complessità dei dati geografici trovati.</w:t>
            </w:r>
          </w:p>
          <w:p w14:paraId="71DFBBFE" w14:textId="77777777" w:rsidR="009713DE" w:rsidRDefault="00000000"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Fase 0: </w:t>
            </w:r>
            <w:r>
              <w:rPr>
                <w:color w:val="555555"/>
                <w:sz w:val="20"/>
                <w:szCs w:val="20"/>
              </w:rPr>
              <w:t>~1 settimana   |   Fase 1: 4–6 settimane   |   Fase 2: 8–12 settimane</w:t>
            </w:r>
          </w:p>
        </w:tc>
      </w:tr>
    </w:tbl>
    <w:p w14:paraId="27275226" w14:textId="77777777" w:rsidR="00382BF4" w:rsidRDefault="00382BF4"/>
    <w:sectPr w:rsidR="00382BF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ADC6" w14:textId="77777777" w:rsidR="00382BF4" w:rsidRDefault="00382BF4">
      <w:r>
        <w:separator/>
      </w:r>
    </w:p>
  </w:endnote>
  <w:endnote w:type="continuationSeparator" w:id="0">
    <w:p w14:paraId="071A4B86" w14:textId="77777777" w:rsidR="00382BF4" w:rsidRDefault="00382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FC89" w14:textId="77777777" w:rsidR="009713DE" w:rsidRDefault="00000000">
    <w:pPr>
      <w:pBdr>
        <w:top w:val="single" w:sz="4" w:space="4" w:color="2E75B6"/>
      </w:pBdr>
      <w:spacing w:before="100"/>
      <w:jc w:val="right"/>
    </w:pPr>
    <w:r>
      <w:rPr>
        <w:color w:val="555555"/>
        <w:sz w:val="18"/>
        <w:szCs w:val="18"/>
      </w:rPr>
      <w:t xml:space="preserve">Pagina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B1363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FB1363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25AC3" w14:textId="77777777" w:rsidR="00382BF4" w:rsidRDefault="00382BF4">
      <w:r>
        <w:separator/>
      </w:r>
    </w:p>
  </w:footnote>
  <w:footnote w:type="continuationSeparator" w:id="0">
    <w:p w14:paraId="6BFDEF92" w14:textId="77777777" w:rsidR="00382BF4" w:rsidRDefault="00382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58E2" w14:textId="77777777" w:rsidR="009713DE" w:rsidRDefault="00000000">
    <w:pPr>
      <w:pBdr>
        <w:bottom w:val="single" w:sz="4" w:space="4" w:color="2E75B6"/>
      </w:pBdr>
      <w:spacing w:after="100"/>
    </w:pPr>
    <w:r>
      <w:rPr>
        <w:b/>
        <w:bCs/>
        <w:color w:val="2E75B6"/>
        <w:sz w:val="18"/>
        <w:szCs w:val="18"/>
      </w:rPr>
      <w:t>URBAN PROSPECT</w:t>
    </w:r>
    <w:r>
      <w:rPr>
        <w:color w:val="555555"/>
        <w:sz w:val="18"/>
        <w:szCs w:val="18"/>
      </w:rPr>
      <w:t xml:space="preserve">   |   Piano Evolutivo verso l'MVP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1C5"/>
    <w:multiLevelType w:val="hybridMultilevel"/>
    <w:tmpl w:val="C75A6D70"/>
    <w:lvl w:ilvl="0" w:tplc="BC886504">
      <w:start w:val="1"/>
      <w:numFmt w:val="bullet"/>
      <w:lvlText w:val="●"/>
      <w:lvlJc w:val="left"/>
      <w:pPr>
        <w:ind w:left="720" w:hanging="360"/>
      </w:pPr>
    </w:lvl>
    <w:lvl w:ilvl="1" w:tplc="C142A6EC">
      <w:start w:val="1"/>
      <w:numFmt w:val="bullet"/>
      <w:lvlText w:val="○"/>
      <w:lvlJc w:val="left"/>
      <w:pPr>
        <w:ind w:left="1440" w:hanging="360"/>
      </w:pPr>
    </w:lvl>
    <w:lvl w:ilvl="2" w:tplc="13FAE178">
      <w:start w:val="1"/>
      <w:numFmt w:val="bullet"/>
      <w:lvlText w:val="■"/>
      <w:lvlJc w:val="left"/>
      <w:pPr>
        <w:ind w:left="2160" w:hanging="360"/>
      </w:pPr>
    </w:lvl>
    <w:lvl w:ilvl="3" w:tplc="5C6E4778">
      <w:start w:val="1"/>
      <w:numFmt w:val="bullet"/>
      <w:lvlText w:val="●"/>
      <w:lvlJc w:val="left"/>
      <w:pPr>
        <w:ind w:left="2880" w:hanging="360"/>
      </w:pPr>
    </w:lvl>
    <w:lvl w:ilvl="4" w:tplc="51302F98">
      <w:start w:val="1"/>
      <w:numFmt w:val="bullet"/>
      <w:lvlText w:val="○"/>
      <w:lvlJc w:val="left"/>
      <w:pPr>
        <w:ind w:left="3600" w:hanging="360"/>
      </w:pPr>
    </w:lvl>
    <w:lvl w:ilvl="5" w:tplc="4DB46288">
      <w:start w:val="1"/>
      <w:numFmt w:val="bullet"/>
      <w:lvlText w:val="■"/>
      <w:lvlJc w:val="left"/>
      <w:pPr>
        <w:ind w:left="4320" w:hanging="360"/>
      </w:pPr>
    </w:lvl>
    <w:lvl w:ilvl="6" w:tplc="6DE2DA1C">
      <w:start w:val="1"/>
      <w:numFmt w:val="bullet"/>
      <w:lvlText w:val="●"/>
      <w:lvlJc w:val="left"/>
      <w:pPr>
        <w:ind w:left="5040" w:hanging="360"/>
      </w:pPr>
    </w:lvl>
    <w:lvl w:ilvl="7" w:tplc="0C429E8C">
      <w:start w:val="1"/>
      <w:numFmt w:val="bullet"/>
      <w:lvlText w:val="●"/>
      <w:lvlJc w:val="left"/>
      <w:pPr>
        <w:ind w:left="5760" w:hanging="360"/>
      </w:pPr>
    </w:lvl>
    <w:lvl w:ilvl="8" w:tplc="0E5071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FF5E50"/>
    <w:multiLevelType w:val="hybridMultilevel"/>
    <w:tmpl w:val="CD1AEA7A"/>
    <w:lvl w:ilvl="0" w:tplc="E43EBFA0">
      <w:start w:val="1"/>
      <w:numFmt w:val="bullet"/>
      <w:lvlText w:val="–"/>
      <w:lvlJc w:val="left"/>
      <w:pPr>
        <w:ind w:left="600" w:hanging="300"/>
      </w:pPr>
    </w:lvl>
    <w:lvl w:ilvl="1" w:tplc="E2E6418E">
      <w:numFmt w:val="decimal"/>
      <w:lvlText w:val=""/>
      <w:lvlJc w:val="left"/>
    </w:lvl>
    <w:lvl w:ilvl="2" w:tplc="4E1E4E32">
      <w:numFmt w:val="decimal"/>
      <w:lvlText w:val=""/>
      <w:lvlJc w:val="left"/>
    </w:lvl>
    <w:lvl w:ilvl="3" w:tplc="607E58B8">
      <w:numFmt w:val="decimal"/>
      <w:lvlText w:val=""/>
      <w:lvlJc w:val="left"/>
    </w:lvl>
    <w:lvl w:ilvl="4" w:tplc="F0CEC922">
      <w:numFmt w:val="decimal"/>
      <w:lvlText w:val=""/>
      <w:lvlJc w:val="left"/>
    </w:lvl>
    <w:lvl w:ilvl="5" w:tplc="9BB26ED4">
      <w:numFmt w:val="decimal"/>
      <w:lvlText w:val=""/>
      <w:lvlJc w:val="left"/>
    </w:lvl>
    <w:lvl w:ilvl="6" w:tplc="1472BAC2">
      <w:numFmt w:val="decimal"/>
      <w:lvlText w:val=""/>
      <w:lvlJc w:val="left"/>
    </w:lvl>
    <w:lvl w:ilvl="7" w:tplc="22A2FBFC">
      <w:numFmt w:val="decimal"/>
      <w:lvlText w:val=""/>
      <w:lvlJc w:val="left"/>
    </w:lvl>
    <w:lvl w:ilvl="8" w:tplc="BC500172">
      <w:numFmt w:val="decimal"/>
      <w:lvlText w:val=""/>
      <w:lvlJc w:val="left"/>
    </w:lvl>
  </w:abstractNum>
  <w:num w:numId="1" w16cid:durableId="424038766">
    <w:abstractNumId w:val="0"/>
    <w:lvlOverride w:ilvl="0">
      <w:startOverride w:val="1"/>
    </w:lvlOverride>
  </w:num>
  <w:num w:numId="2" w16cid:durableId="1135948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3DE"/>
    <w:rsid w:val="00382BF4"/>
    <w:rsid w:val="00411957"/>
    <w:rsid w:val="007261AB"/>
    <w:rsid w:val="009713DE"/>
    <w:rsid w:val="00FB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CF8F26"/>
  <w15:docId w15:val="{CB624340-10A6-EE48-B5A4-9CD9E01E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140"/>
      <w:outlineLvl w:val="0"/>
    </w:pPr>
    <w:rPr>
      <w:b/>
      <w:bCs/>
      <w:color w:val="1B3A5C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80"/>
      <w:outlineLvl w:val="1"/>
    </w:pPr>
    <w:rPr>
      <w:b/>
      <w:bCs/>
      <w:color w:val="1B3A5C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1810</Words>
  <Characters>9925</Characters>
  <Application>Microsoft Office Word</Application>
  <DocSecurity>0</DocSecurity>
  <Lines>500</Lines>
  <Paragraphs>308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rossi</cp:lastModifiedBy>
  <cp:revision>3</cp:revision>
  <dcterms:created xsi:type="dcterms:W3CDTF">2026-03-20T00:23:00Z</dcterms:created>
  <dcterms:modified xsi:type="dcterms:W3CDTF">2026-03-20T08:32:00Z</dcterms:modified>
</cp:coreProperties>
</file>