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48"/>
          <w:szCs w:val="48"/>
        </w:rPr>
        <w:t xml:space="preserve">Feature Request</w:t>
      </w:r>
    </w:p>
    <w:p>
      <w:pPr>
        <w:spacing w:after="80" w:before="0"/>
      </w:pPr>
      <w:r>
        <w:rPr>
          <w:rFonts w:ascii="Arial" w:cs="Arial" w:eastAsia="Arial" w:hAnsi="Arial"/>
          <w:color w:val="2E75B6"/>
          <w:sz w:val="32"/>
          <w:szCs w:val="32"/>
        </w:rPr>
        <w:t xml:space="preserve">User-Adjustable Prospect Score Weights</w:t>
      </w:r>
    </w:p>
    <w:p>
      <w:pPr>
        <w:spacing w:after="600" w:before="0"/>
      </w:pPr>
      <w:r>
        <w:rPr>
          <w:rFonts w:ascii="Arial" w:cs="Arial" w:eastAsia="Arial" w:hAnsi="Arial"/>
          <w:color w:val="888888"/>
          <w:sz w:val="22"/>
          <w:szCs w:val="22"/>
        </w:rPr>
        <w:t xml:space="preserve">Urban Prospect — Interactive Map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sz w:val="20"/>
                <w:szCs w:val="20"/>
              </w:rPr>
              <w:t xml:space="preserve">Date</w:t>
            </w:r>
          </w:p>
        </w:tc>
        <w:tc>
          <w:tcPr>
            <w:tcW w:type="dxa" w:w="7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sz w:val="20"/>
                <w:szCs w:val="20"/>
              </w:rPr>
              <w:t xml:space="preserve">Author</w:t>
            </w:r>
          </w:p>
        </w:tc>
        <w:tc>
          <w:tcPr>
            <w:tcW w:type="dxa" w:w="7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Marco Rossi</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sz w:val="20"/>
                <w:szCs w:val="20"/>
              </w:rPr>
              <w:t xml:space="preserve">Target file</w:t>
            </w:r>
          </w:p>
        </w:tc>
        <w:tc>
          <w:tcPr>
            <w:tcW w:type="dxa" w:w="7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urier New" w:cs="Courier New" w:eastAsia="Courier New" w:hAnsi="Courier New"/>
                <w:sz w:val="20"/>
                <w:szCs w:val="20"/>
              </w:rPr>
              <w:t xml:space="preserve">urban-shift/src/components/MapView.jsx (and related)</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sz w:val="20"/>
                <w:szCs w:val="20"/>
              </w:rPr>
              <w:t xml:space="preserve">Priority</w:t>
            </w:r>
          </w:p>
        </w:tc>
        <w:tc>
          <w:tcPr>
            <w:tcW w:type="dxa" w:w="7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Medium — UX enhancement</w:t>
            </w:r>
          </w:p>
        </w:tc>
      </w:tr>
    </w:tbl>
    <w:p/>
    <w:p>
      <w:pPr>
        <w:pStyle w:val="Heading1"/>
      </w:pPr>
      <w:r>
        <w:t xml:space="preserve">1. Context and Motivation</w:t>
      </w:r>
    </w:p>
    <w:p>
      <w:r>
        <w:t xml:space="preserve">The Prospect Score is currently computed with fixed weights hardcoded in the data pipeline and reflected in the UI. While the default weights are well-reasoned, different investors have different priorities: some care primarily about green cover, others about population growth or commute time.</w:t>
      </w:r>
    </w:p>
    <w:p/>
    <w:p>
      <w:r>
        <w:t xml:space="preserve">Making the weights user-adjustable turns Urban Prospect from a static ranking tool into an interactive decision-support tool. The user can answer: “What would the ranking look like if I cared more about population growth and less about imperviousness?”</w:t>
      </w:r>
    </w:p>
    <w:p/>
    <w:p>
      <w:pPr>
        <w:pStyle w:val="Heading1"/>
      </w:pPr>
      <w:r>
        <w:t xml:space="preserve">2. Current Implementation</w:t>
      </w:r>
    </w:p>
    <w:p>
      <w:r>
        <w:t xml:space="preserve">The score formula, as documented in the README, is:</w:t>
      </w:r>
    </w:p>
    <w:p/>
    <w:p>
      <w:pPr>
        <w:shd w:fill="F4F4F4" w:val="clear"/>
        <w:spacing w:after="80" w:before="80"/>
        <w:ind w:left="720"/>
      </w:pPr>
      <w:r>
        <w:rPr>
          <w:rFonts w:ascii="Courier New" w:cs="Courier New" w:eastAsia="Courier New" w:hAnsi="Courier New"/>
          <w:sz w:val="20"/>
          <w:szCs w:val="20"/>
        </w:rPr>
        <w:t xml:space="preserve">Prospect Score = 0.35 × (100 − imd_norm)  +  0.25 × tcd_norm  +  0.30 × pop_norm  +  0.10 × access_norm</w:t>
      </w:r>
    </w:p>
    <w:p/>
    <w:p>
      <w:r>
        <w:t xml:space="preserve">The four normalised indicators are pre-computed in the Python pipeline and stored in the GeoJSON. The score, as it currently stands, is also pre-computed and baked into the data file. This means recalculation must happen client-side in JavaScript.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500"/>
        <w:gridCol w:w="2326"/>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Indicator</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Field in GeoJSON</w:t>
            </w:r>
          </w:p>
        </w:tc>
        <w:tc>
          <w:tcPr>
            <w:tcW w:type="dxa" w:w="15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Default weight</w:t>
            </w:r>
          </w:p>
        </w:tc>
        <w:tc>
          <w:tcPr>
            <w:tcW w:type="dxa" w:w="23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Imperviousness (IMD)</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ourier New" w:cs="Courier New" w:eastAsia="Courier New" w:hAnsi="Courier New"/>
                <w:sz w:val="18"/>
                <w:szCs w:val="18"/>
              </w:rPr>
              <w:t xml:space="preserve">imd_norm</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35%</w:t>
            </w:r>
          </w:p>
        </w:tc>
        <w:tc>
          <w:tcPr>
            <w:tcW w:type="dxa" w:w="23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Inverted (100 − imd_norm)</w:t>
            </w:r>
          </w:p>
        </w:tc>
      </w:tr>
      <w:tr>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Tree Cover Density (TCD)</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ourier New" w:cs="Courier New" w:eastAsia="Courier New" w:hAnsi="Courier New"/>
                <w:sz w:val="18"/>
                <w:szCs w:val="18"/>
              </w:rPr>
              <w:t xml:space="preserve">tcd_norm</w:t>
            </w:r>
          </w:p>
        </w:tc>
        <w:tc>
          <w:tcPr>
            <w:tcW w:type="dxa" w:w="15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25%</w:t>
            </w:r>
          </w:p>
        </w:tc>
        <w:tc>
          <w:tcPr>
            <w:tcW w:type="dxa" w:w="2326"/>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Direct</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Population Growth</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ourier New" w:cs="Courier New" w:eastAsia="Courier New" w:hAnsi="Courier New"/>
                <w:sz w:val="18"/>
                <w:szCs w:val="18"/>
              </w:rPr>
              <w:t xml:space="preserve">pop_norm</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30%</w:t>
            </w:r>
          </w:p>
        </w:tc>
        <w:tc>
          <w:tcPr>
            <w:tcW w:type="dxa" w:w="23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Direct</w:t>
            </w:r>
          </w:p>
        </w:tc>
      </w:tr>
      <w:tr>
        <w:tc>
          <w:tcPr>
            <w:tcW w:type="dxa" w:w="32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Drive Time to Rome</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Courier New" w:cs="Courier New" w:eastAsia="Courier New" w:hAnsi="Courier New"/>
                <w:sz w:val="18"/>
                <w:szCs w:val="18"/>
              </w:rPr>
              <w:t xml:space="preserve">access_norm</w:t>
            </w:r>
          </w:p>
        </w:tc>
        <w:tc>
          <w:tcPr>
            <w:tcW w:type="dxa" w:w="15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10%</w:t>
            </w:r>
          </w:p>
        </w:tc>
        <w:tc>
          <w:tcPr>
            <w:tcW w:type="dxa" w:w="2326"/>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sz w:val="20"/>
                <w:szCs w:val="20"/>
              </w:rPr>
              <w:t xml:space="preserve">Inverted (access_norm)</w:t>
            </w:r>
          </w:p>
        </w:tc>
      </w:tr>
    </w:tbl>
    <w:p/>
    <w:p>
      <w:pPr>
        <w:pStyle w:val="Heading1"/>
      </w:pPr>
      <w:r>
        <w:t xml:space="preserve">3. Feature Description</w:t>
      </w:r>
    </w:p>
    <w:p>
      <w:r>
        <w:t xml:space="preserve">Add a collapsible “Customise weights” panel to the existing sidebar. The panel exposes four sliders (one per indicator). As the user moves any slider, the ranking and map colours update in real time without any page reload or API call.</w:t>
      </w:r>
    </w:p>
    <w:p/>
    <w:p>
      <w:pPr>
        <w:pStyle w:val="Heading2"/>
      </w:pPr>
      <w:r>
        <w:t xml:space="preserve">3.1  UI — Weight Controls Panel</w:t>
      </w:r>
    </w:p>
    <w:p>
      <w:r>
        <w:t xml:space="preserve">The panel should be placed above the existing region/score filters in the sidebar.</w:t>
      </w:r>
    </w:p>
    <w:p/>
    <w:p>
      <w:r>
        <w:rPr>
          <w:b/>
          <w:bCs/>
        </w:rPr>
        <w:t xml:space="preserve">Required UI elements:</w:t>
      </w:r>
    </w:p>
    <w:p>
      <w:pPr>
        <w:pStyle w:val="ListParagraph"/>
        <w:numPr>
          <w:ilvl w:val="0"/>
          <w:numId w:val="2"/>
        </w:numPr>
      </w:pPr>
      <w:r>
        <w:t xml:space="preserve">A collapsible section header: “Customise Score Weights” with a toggle chevron.</w:t>
      </w:r>
    </w:p>
    <w:p>
      <w:pPr>
        <w:pStyle w:val="ListParagraph"/>
        <w:numPr>
          <w:ilvl w:val="0"/>
          <w:numId w:val="2"/>
        </w:numPr>
      </w:pPr>
      <w:r>
        <w:t xml:space="preserve">Four sliders, one per indicator, labelled with the indicator name.</w:t>
      </w:r>
    </w:p>
    <w:p>
      <w:pPr>
        <w:pStyle w:val="ListParagraph"/>
        <w:numPr>
          <w:ilvl w:val="0"/>
          <w:numId w:val="2"/>
        </w:numPr>
      </w:pPr>
      <w:r>
        <w:t xml:space="preserve">Each slider: range 0–100, step 5, default value = current hardcoded weight.</w:t>
      </w:r>
    </w:p>
    <w:p>
      <w:pPr>
        <w:pStyle w:val="ListParagraph"/>
        <w:numPr>
          <w:ilvl w:val="0"/>
          <w:numId w:val="2"/>
        </w:numPr>
      </w:pPr>
      <w:r>
        <w:t xml:space="preserve">A live “Total: XX%” counter showing the sum of all four sliders. It should turn red when the total ≠ 100%.</w:t>
      </w:r>
    </w:p>
    <w:p>
      <w:pPr>
        <w:pStyle w:val="ListParagraph"/>
        <w:numPr>
          <w:ilvl w:val="0"/>
          <w:numId w:val="2"/>
        </w:numPr>
      </w:pPr>
      <w:r>
        <w:t xml:space="preserve">A “Reset to defaults” button that restores the four default values.</w:t>
      </w:r>
    </w:p>
    <w:p>
      <w:pPr>
        <w:pStyle w:val="ListParagraph"/>
        <w:numPr>
          <w:ilvl w:val="0"/>
          <w:numId w:val="2"/>
        </w:numPr>
      </w:pPr>
      <w:r>
        <w:t xml:space="preserve">While the total ≠ 100%, show a warning: “Weights must sum to 100% to update the ranking.”</w:t>
      </w:r>
    </w:p>
    <w:p/>
    <w:p>
      <w:r>
        <w:rPr>
          <w:b/>
          <w:bCs/>
        </w:rPr>
        <w:t xml:space="preserve">Behaviour:</w:t>
      </w:r>
    </w:p>
    <w:p>
      <w:pPr>
        <w:pStyle w:val="ListParagraph"/>
        <w:numPr>
          <w:ilvl w:val="0"/>
          <w:numId w:val="2"/>
        </w:numPr>
      </w:pPr>
      <w:r>
        <w:t xml:space="preserve">Recalculation fires only when the total equals exactly 100%.</w:t>
      </w:r>
    </w:p>
    <w:p>
      <w:pPr>
        <w:pStyle w:val="ListParagraph"/>
        <w:numPr>
          <w:ilvl w:val="0"/>
          <w:numId w:val="2"/>
        </w:numPr>
      </w:pPr>
      <w:r>
        <w:t xml:space="preserve">The map choropleth and the ranked sidebar list both update immediately.</w:t>
      </w:r>
    </w:p>
    <w:p>
      <w:pPr>
        <w:pStyle w:val="ListParagraph"/>
        <w:numPr>
          <w:ilvl w:val="0"/>
          <w:numId w:val="2"/>
        </w:numPr>
      </w:pPr>
      <w:r>
        <w:t xml:space="preserve">The detail panel (when open) also re-renders with the new score and bar widths.</w:t>
      </w:r>
    </w:p>
    <w:p/>
    <w:p>
      <w:pPr>
        <w:pStyle w:val="Heading2"/>
      </w:pPr>
      <w:r>
        <w:t xml:space="preserve">3.2  Score Recalculation Logic</w:t>
      </w:r>
    </w:p>
    <w:p>
      <w:r>
        <w:t xml:space="preserve">The raw normalised indicator values (imd_norm, tcd_norm, pop_norm, access_norm) are already available in the GeoJSON features. The recalculation is purely arithmetic and can be done client-side.</w:t>
      </w:r>
    </w:p>
    <w:p/>
    <w:p>
      <w:r>
        <w:t xml:space="preserve">Add a pure utility function (suggested location: src/utils/score.js):</w:t>
      </w:r>
    </w:p>
    <w:p/>
    <w:p>
      <w:pPr>
        <w:shd w:fill="F4F4F4" w:val="clear"/>
        <w:ind w:left="720"/>
      </w:pPr>
      <w:r>
        <w:rPr>
          <w:rFonts w:ascii="Courier New" w:cs="Courier New" w:eastAsia="Courier New" w:hAnsi="Courier New"/>
          <w:color w:val="2B2B2B"/>
          <w:sz w:val="18"/>
          <w:szCs w:val="18"/>
        </w:rPr>
        <w:t xml:space="preserve">// src/utils/score.js</w:t>
      </w:r>
    </w:p>
    <w:p>
      <w:pPr>
        <w:shd w:fill="F4F4F4" w:val="clear"/>
        <w:ind w:left="720"/>
      </w:pPr>
      <w:r>
        <w:rPr>
          <w:rFonts w:ascii="Courier New" w:cs="Courier New" w:eastAsia="Courier New" w:hAnsi="Courier New"/>
          <w:color w:val="2B2B2B"/>
          <w:sz w:val="18"/>
          <w:szCs w:val="18"/>
        </w:rPr>
        <w:t xml:space="preserve">export function computeScore(feature, weights) {</w:t>
      </w:r>
    </w:p>
    <w:p>
      <w:pPr>
        <w:shd w:fill="F4F4F4" w:val="clear"/>
        <w:ind w:left="720"/>
      </w:pPr>
      <w:r>
        <w:rPr>
          <w:rFonts w:ascii="Courier New" w:cs="Courier New" w:eastAsia="Courier New" w:hAnsi="Courier New"/>
          <w:color w:val="2B2B2B"/>
          <w:sz w:val="18"/>
          <w:szCs w:val="18"/>
        </w:rPr>
        <w:t xml:space="preserve">  const { imd_norm, tcd_norm, pop_norm, access_norm } = feature.properties;</w:t>
      </w:r>
    </w:p>
    <w:p>
      <w:pPr>
        <w:shd w:fill="F4F4F4" w:val="clear"/>
        <w:ind w:left="720"/>
      </w:pPr>
      <w:r>
        <w:rPr>
          <w:rFonts w:ascii="Courier New" w:cs="Courier New" w:eastAsia="Courier New" w:hAnsi="Courier New"/>
          <w:color w:val="2B2B2B"/>
          <w:sz w:val="18"/>
          <w:szCs w:val="18"/>
        </w:rPr>
        <w:t xml:space="preserve">  return (</w:t>
      </w:r>
    </w:p>
    <w:p>
      <w:pPr>
        <w:shd w:fill="F4F4F4" w:val="clear"/>
        <w:ind w:left="720"/>
      </w:pPr>
      <w:r>
        <w:rPr>
          <w:rFonts w:ascii="Courier New" w:cs="Courier New" w:eastAsia="Courier New" w:hAnsi="Courier New"/>
          <w:color w:val="2B2B2B"/>
          <w:sz w:val="18"/>
          <w:szCs w:val="18"/>
        </w:rPr>
        <w:t xml:space="preserve">    (weights.imd   / 100) * (100 - imd_norm) +</w:t>
      </w:r>
    </w:p>
    <w:p>
      <w:pPr>
        <w:shd w:fill="F4F4F4" w:val="clear"/>
        <w:ind w:left="720"/>
      </w:pPr>
      <w:r>
        <w:rPr>
          <w:rFonts w:ascii="Courier New" w:cs="Courier New" w:eastAsia="Courier New" w:hAnsi="Courier New"/>
          <w:color w:val="2B2B2B"/>
          <w:sz w:val="18"/>
          <w:szCs w:val="18"/>
        </w:rPr>
        <w:t xml:space="preserve">    (weights.tcd   / 100) * tcd_norm         +</w:t>
      </w:r>
    </w:p>
    <w:p>
      <w:pPr>
        <w:shd w:fill="F4F4F4" w:val="clear"/>
        <w:ind w:left="720"/>
      </w:pPr>
      <w:r>
        <w:rPr>
          <w:rFonts w:ascii="Courier New" w:cs="Courier New" w:eastAsia="Courier New" w:hAnsi="Courier New"/>
          <w:color w:val="2B2B2B"/>
          <w:sz w:val="18"/>
          <w:szCs w:val="18"/>
        </w:rPr>
        <w:t xml:space="preserve">    (weights.pop   / 100) * pop_norm          +</w:t>
      </w:r>
    </w:p>
    <w:p>
      <w:pPr>
        <w:shd w:fill="F4F4F4" w:val="clear"/>
        <w:ind w:left="720"/>
      </w:pPr>
      <w:r>
        <w:rPr>
          <w:rFonts w:ascii="Courier New" w:cs="Courier New" w:eastAsia="Courier New" w:hAnsi="Courier New"/>
          <w:color w:val="2B2B2B"/>
          <w:sz w:val="18"/>
          <w:szCs w:val="18"/>
        </w:rPr>
        <w:t xml:space="preserve">    (weights.access / 100) * access_norm</w:t>
      </w:r>
    </w:p>
    <w:p>
      <w:pPr>
        <w:shd w:fill="F4F4F4" w:val="clear"/>
        <w:ind w:left="720"/>
      </w:pPr>
      <w:r>
        <w:rPr>
          <w:rFonts w:ascii="Courier New" w:cs="Courier New" w:eastAsia="Courier New" w:hAnsi="Courier New"/>
          <w:color w:val="2B2B2B"/>
          <w:sz w:val="18"/>
          <w:szCs w:val="18"/>
        </w:rPr>
        <w:t xml:space="preserve">  );</w:t>
      </w:r>
    </w:p>
    <w:p>
      <w:pPr>
        <w:shd w:fill="F4F4F4" w:val="clear"/>
        <w:ind w:left="720"/>
      </w:pPr>
      <w:r>
        <w:rPr>
          <w:rFonts w:ascii="Courier New" w:cs="Courier New" w:eastAsia="Courier New" w:hAnsi="Courier New"/>
          <w:color w:val="2B2B2B"/>
          <w:sz w:val="18"/>
          <w:szCs w:val="18"/>
        </w:rPr>
        <w:t xml:space="preserve">}</w:t>
      </w:r>
    </w:p>
    <w:p/>
    <w:p>
      <w:r>
        <w:t xml:space="preserve">The weights object contains integer percentages (e.g. { imd: 35, tcd: 25, pop: 30, access: 10 }). The function returns a float in [0, 100].</w:t>
      </w:r>
    </w:p>
    <w:p/>
    <w:p>
      <w:r>
        <w:t xml:space="preserve">Important: do not mutate the GeoJSON source. Instead, derive a computed score on the fly for rendering. The pre-computed prospect_score field in the GeoJSON can remain as the “default” fallback when weights are at their initial values.</w:t>
      </w:r>
    </w:p>
    <w:p/>
    <w:p>
      <w:pPr>
        <w:pStyle w:val="Heading2"/>
      </w:pPr>
      <w:r>
        <w:t xml:space="preserve">3.3  State Management</w:t>
      </w:r>
    </w:p>
    <w:p>
      <w:r>
        <w:t xml:space="preserve">Suggested React state shape (in the top-level App or MapView component):</w:t>
      </w:r>
    </w:p>
    <w:p/>
    <w:p>
      <w:pPr>
        <w:shd w:fill="F4F4F4" w:val="clear"/>
        <w:ind w:left="720"/>
      </w:pPr>
      <w:r>
        <w:rPr>
          <w:rFonts w:ascii="Courier New" w:cs="Courier New" w:eastAsia="Courier New" w:hAnsi="Courier New"/>
          <w:color w:val="2B2B2B"/>
          <w:sz w:val="18"/>
          <w:szCs w:val="18"/>
        </w:rPr>
        <w:t xml:space="preserve">const DEFAULT_WEIGHTS = { imd: 35, tcd: 25, pop: 30, access: 10 };</w:t>
      </w:r>
    </w:p>
    <w:p>
      <w:pPr>
        <w:shd w:fill="F4F4F4" w:val="clear"/>
        <w:ind w:left="720"/>
      </w:pPr>
      <w:r>
        <w:rPr>
          <w:rFonts w:ascii="Courier New" w:cs="Courier New" w:eastAsia="Courier New" w:hAnsi="Courier New"/>
          <w:color w:val="2B2B2B"/>
          <w:sz w:val="18"/>
          <w:szCs w:val="18"/>
        </w:rPr>
        <w:t xml:space="preserve">const [weights, setWeights] = useState(DEFAULT_WEIGHTS);</w:t>
      </w:r>
    </w:p>
    <w:p/>
    <w:p>
      <w:r>
        <w:t xml:space="preserve">Pass weights down as a prop (or via context) to:</w:t>
      </w:r>
    </w:p>
    <w:p>
      <w:pPr>
        <w:pStyle w:val="ListParagraph"/>
        <w:numPr>
          <w:ilvl w:val="0"/>
          <w:numId w:val="2"/>
        </w:numPr>
      </w:pPr>
      <w:r>
        <w:t xml:space="preserve">The weight controls panel — to render current slider positions.</w:t>
      </w:r>
    </w:p>
    <w:p>
      <w:pPr>
        <w:pStyle w:val="ListParagraph"/>
        <w:numPr>
          <w:ilvl w:val="0"/>
          <w:numId w:val="2"/>
        </w:numPr>
      </w:pPr>
      <w:r>
        <w:t xml:space="preserve">The map layer — to colour features.</w:t>
      </w:r>
    </w:p>
    <w:p>
      <w:pPr>
        <w:pStyle w:val="ListParagraph"/>
        <w:numPr>
          <w:ilvl w:val="0"/>
          <w:numId w:val="2"/>
        </w:numPr>
      </w:pPr>
      <w:r>
        <w:t xml:space="preserve">The ranked list — to sort municipalities.</w:t>
      </w:r>
    </w:p>
    <w:p>
      <w:pPr>
        <w:pStyle w:val="ListParagraph"/>
        <w:numPr>
          <w:ilvl w:val="0"/>
          <w:numId w:val="2"/>
        </w:numPr>
      </w:pPr>
      <w:r>
        <w:t xml:space="preserve">The detail panel — to display the breakdown bars.</w:t>
      </w:r>
    </w:p>
    <w:p/>
    <w:p>
      <w:pPr>
        <w:pStyle w:val="Heading2"/>
      </w:pPr>
      <w:r>
        <w:t xml:space="preserve">3.4  Map Colour Scale</w:t>
      </w:r>
    </w:p>
    <w:p>
      <w:r>
        <w:t xml:space="preserve">The choropleth colour scale is currently driven by the pre-computed score. It must be updated to use the dynamically computed score. No change to the colour scale itself (purple–green gradient) is needed; only the input value changes.</w:t>
      </w:r>
    </w:p>
    <w:p/>
    <w:p>
      <w:r>
        <w:t xml:space="preserve">When re-colouring, recompute the score for every feature in the GeoJSON using computeScore(feature, weights) and apply the same getColor(score) function already in use.</w:t>
      </w:r>
    </w:p>
    <w:p/>
    <w:p>
      <w:pPr>
        <w:pStyle w:val="Heading1"/>
      </w:pPr>
      <w:r>
        <w:t xml:space="preserve">4. Acceptance Criteria</w:t>
      </w:r>
    </w:p>
    <w:p>
      <w:pPr>
        <w:pStyle w:val="ListParagraph"/>
        <w:numPr>
          <w:ilvl w:val="0"/>
          <w:numId w:val="3"/>
        </w:numPr>
      </w:pPr>
      <w:r>
        <w:t xml:space="preserve">The weight panel is visible in the sidebar and collapsed by default.</w:t>
      </w:r>
    </w:p>
    <w:p>
      <w:pPr>
        <w:pStyle w:val="ListParagraph"/>
        <w:numPr>
          <w:ilvl w:val="0"/>
          <w:numId w:val="3"/>
        </w:numPr>
      </w:pPr>
      <w:r>
        <w:t xml:space="preserve">Each slider displays its current weight value as a percentage label next to it.</w:t>
      </w:r>
    </w:p>
    <w:p>
      <w:pPr>
        <w:pStyle w:val="ListParagraph"/>
        <w:numPr>
          <w:ilvl w:val="0"/>
          <w:numId w:val="3"/>
        </w:numPr>
      </w:pPr>
      <w:r>
        <w:t xml:space="preserve">The total counter updates live as sliders move.</w:t>
      </w:r>
    </w:p>
    <w:p>
      <w:pPr>
        <w:pStyle w:val="ListParagraph"/>
        <w:numPr>
          <w:ilvl w:val="0"/>
          <w:numId w:val="3"/>
        </w:numPr>
      </w:pPr>
      <w:r>
        <w:t xml:space="preserve">The ranking and map do not update while total ≠ 100%.</w:t>
      </w:r>
    </w:p>
    <w:p>
      <w:pPr>
        <w:pStyle w:val="ListParagraph"/>
        <w:numPr>
          <w:ilvl w:val="0"/>
          <w:numId w:val="3"/>
        </w:numPr>
      </w:pPr>
      <w:r>
        <w:t xml:space="preserve">When total = 100%, ranking and map update within one render cycle (no debounce needed given the small dataset size of ~1,048 features).</w:t>
      </w:r>
    </w:p>
    <w:p>
      <w:pPr>
        <w:pStyle w:val="ListParagraph"/>
        <w:numPr>
          <w:ilvl w:val="0"/>
          <w:numId w:val="3"/>
        </w:numPr>
      </w:pPr>
      <w:r>
        <w:t xml:space="preserve">The “Reset to defaults” button restores weights to 35 / 25 / 30 / 10 and triggers a recalculation.</w:t>
      </w:r>
    </w:p>
    <w:p>
      <w:pPr>
        <w:pStyle w:val="ListParagraph"/>
        <w:numPr>
          <w:ilvl w:val="0"/>
          <w:numId w:val="3"/>
        </w:numPr>
      </w:pPr>
      <w:r>
        <w:t xml:space="preserve">The detail panel score and bar widths reflect the custom weights when a comune is selected.</w:t>
      </w:r>
    </w:p>
    <w:p>
      <w:pPr>
        <w:pStyle w:val="ListParagraph"/>
        <w:numPr>
          <w:ilvl w:val="0"/>
          <w:numId w:val="3"/>
        </w:numPr>
      </w:pPr>
      <w:r>
        <w:t xml:space="preserve">No network requests are made during weight adjustment (all recalculation is client-side).</w:t>
      </w:r>
    </w:p>
    <w:p/>
    <w:p>
      <w:pPr>
        <w:pStyle w:val="Heading1"/>
      </w:pPr>
      <w:r>
        <w:t xml:space="preserve">5. Out of Scope</w:t>
      </w:r>
    </w:p>
    <w:p>
      <w:pPr>
        <w:pStyle w:val="ListParagraph"/>
        <w:numPr>
          <w:ilvl w:val="0"/>
          <w:numId w:val="2"/>
        </w:numPr>
      </w:pPr>
      <w:r>
        <w:t xml:space="preserve">Persisting weights across sessions (localStorage can be a future enhancement).</w:t>
      </w:r>
    </w:p>
    <w:p>
      <w:pPr>
        <w:pStyle w:val="ListParagraph"/>
        <w:numPr>
          <w:ilvl w:val="0"/>
          <w:numId w:val="2"/>
        </w:numPr>
      </w:pPr>
      <w:r>
        <w:t xml:space="preserve">Fractional weight steps (integer steps of 5 are sufficient).</w:t>
      </w:r>
    </w:p>
    <w:p>
      <w:pPr>
        <w:pStyle w:val="ListParagraph"/>
        <w:numPr>
          <w:ilvl w:val="0"/>
          <w:numId w:val="2"/>
        </w:numPr>
      </w:pPr>
      <w:r>
        <w:t xml:space="preserve">Modifying the Python data pipeline — the normalised fields are already in the GeoJSON.</w:t>
      </w:r>
    </w:p>
    <w:p>
      <w:pPr>
        <w:pStyle w:val="ListParagraph"/>
        <w:numPr>
          <w:ilvl w:val="0"/>
          <w:numId w:val="2"/>
        </w:numPr>
      </w:pPr>
      <w:r>
        <w:t xml:space="preserve">Changing the colour scale domain dynamically.</w:t>
      </w:r>
    </w:p>
    <w:p/>
    <w:p>
      <w:pPr>
        <w:pStyle w:val="Heading1"/>
      </w:pPr>
      <w:r>
        <w:t xml:space="preserve">6. Notes for the Developer</w:t>
      </w:r>
    </w:p>
    <w:p>
      <w:r>
        <w:t xml:space="preserve">The four normalised fields must be present in every GeoJSON feature. Before starting, confirm by inspecting public/municipalities.geojson: each feature’s properties should include imd_norm, tcd_norm, pop_norm, and access_norm as numeric values in [0, 100]. If any field is missing, the Python pipeline will need a minor addition — but based on the README this should already be the case.</w:t>
      </w:r>
    </w:p>
    <w:p/>
    <w:p>
      <w:r>
        <w:t xml:space="preserve">The computeScore utility should be unit-tested with a few fixed inputs to verify the arithmetic before wiring it to the UI. A simple test with weights at their defaults should reproduce the existing prospect_score values (within floating-point tolerance).</w:t>
      </w:r>
    </w:p>
    <w:p/>
    <w:p>
      <w:pPr>
        <w:pBdr>
          <w:top w:val="single" w:color="CCCCCC" w:sz="4" w:space="4"/>
        </w:pBdr>
        <w:spacing w:before="480"/>
      </w:pPr>
      <w:r>
        <w:rPr>
          <w:rFonts w:ascii="Arial" w:cs="Arial" w:eastAsia="Arial" w:hAnsi="Arial"/>
          <w:i/>
          <w:iCs/>
          <w:color w:val="AAAAAA"/>
          <w:sz w:val="18"/>
          <w:szCs w:val="18"/>
        </w:rPr>
        <w:t xml:space="preserve">Urban Prospect is a portfolio-stage product using open data. This document is an internal feature specification and does not constitute financial or investment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Urban Prospect</w:t>
    </w:r>
    <w:r>
      <w:rPr>
        <w:rFonts w:ascii="Arial" w:cs="Arial" w:eastAsia="Arial" w:hAnsi="Arial"/>
        <w:color w:val="888888"/>
        <w:sz w:val="18"/>
        <w:szCs w:val="18"/>
      </w:rPr>
      <w:t xml:space="preserve">   |   Feature Request: User-Adjustable Prospect Score Weights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2026-03-19T15:30:30.394Z</dcterms:created>
  <dcterms:modified xsi:type="dcterms:W3CDTF">2026-03-19T15:30:30.399Z</dcterms:modified>
</cp:coreProperties>
</file>

<file path=docProps/custom.xml><?xml version="1.0" encoding="utf-8"?>
<Properties xmlns="http://schemas.openxmlformats.org/officeDocument/2006/custom-properties" xmlns:vt="http://schemas.openxmlformats.org/officeDocument/2006/docPropsVTypes"/>
</file>