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p>
    <w:p>
      <w:pPr>
        <w:spacing w:before="0" w:after="80"/>
      </w:pPr>
      <w:r>
        <w:rPr>
          <w:rFonts w:ascii="Arial" w:cs="Arial" w:eastAsia="Arial" w:hAnsi="Arial"/>
          <w:b/>
          <w:bCs/>
          <w:color w:val="1B3F6E"/>
          <w:sz w:val="52"/>
          <w:szCs w:val="52"/>
        </w:rPr>
        <w:t xml:space="preserve">URBAN SHIFT</w:t>
      </w:r>
    </w:p>
    <w:p>
      <w:pPr>
        <w:spacing w:before="0" w:after="240"/>
      </w:pPr>
      <w:r>
        <w:rPr>
          <w:rFonts w:ascii="Arial" w:cs="Arial" w:eastAsia="Arial" w:hAnsi="Arial"/>
          <w:color w:val="2E6DA4"/>
          <w:sz w:val="28"/>
          <w:szCs w:val="28"/>
        </w:rPr>
        <w:t xml:space="preserve">Technical Brief — Shift Score v2</w:t>
      </w:r>
    </w:p>
    <w:p>
      <w:pPr>
        <w:pBdr>
          <w:bottom w:val="single" w:color="D5E3F0" w:sz="6" w:space="4"/>
        </w:pBdr>
        <w:spacing w:before="0" w:after="80"/>
      </w:pPr>
    </w:p>
    <w:p>
      <w:pPr>
        <w:spacing w:before="160" w:after="0"/>
      </w:pPr>
    </w:p>
    <w:p>
      <w:pPr>
        <w:spacing w:before="0" w:after="60"/>
      </w:pPr>
      <w:r>
        <w:rPr>
          <w:rFonts w:ascii="Arial" w:cs="Arial" w:eastAsia="Arial" w:hAnsi="Arial"/>
          <w:color w:val="666666"/>
          <w:sz w:val="20"/>
          <w:szCs w:val="20"/>
        </w:rPr>
        <w:t xml:space="preserve">For review and implementation</w:t>
      </w:r>
    </w:p>
    <w:p>
      <w:pPr>
        <w:spacing w:before="0" w:after="60"/>
      </w:pPr>
      <w:r>
        <w:rPr>
          <w:rFonts w:ascii="Arial" w:cs="Arial" w:eastAsia="Arial" w:hAnsi="Arial"/>
          <w:color w:val="666666"/>
          <w:sz w:val="20"/>
          <w:szCs w:val="20"/>
        </w:rPr>
        <w:t xml:space="preserve">February 2026</w:t>
      </w:r>
    </w:p>
    <w:p>
      <w:pPr>
        <w:spacing w:before="0" w:after="400"/>
      </w:pPr>
      <w:r>
        <w:rPr>
          <w:rFonts w:ascii="Arial" w:cs="Arial" w:eastAsia="Arial" w:hAnsi="Arial"/>
          <w:color w:val="888888"/>
          <w:sz w:val="20"/>
          <w:szCs w:val="20"/>
        </w:rPr>
        <w:t xml:space="preserve">Version 2.0 — Confidential</w:t>
      </w:r>
    </w:p>
    <w:p>
      <w:pPr>
        <w:pBdr>
          <w:bottom w:val="single" w:color="D5E3F0" w:sz="4" w:space="1"/>
        </w:pBdr>
        <w:spacing w:before="240" w:after="200"/>
      </w:pPr>
    </w:p>
    <w:p>
      <w:pPr>
        <w:pStyle w:val="Heading1"/>
        <w:spacing w:before="360" w:after="160"/>
      </w:pPr>
      <w:r>
        <w:rPr>
          <w:rFonts w:ascii="Arial" w:cs="Arial" w:eastAsia="Arial" w:hAnsi="Arial"/>
          <w:b/>
          <w:bCs/>
          <w:color w:val="1B3F6E"/>
          <w:sz w:val="32"/>
          <w:szCs w:val="32"/>
        </w:rPr>
        <w:t xml:space="preserve">1. Overview</w:t>
      </w:r>
    </w:p>
    <w:p>
      <w:pPr>
        <w:spacing w:before="80" w:after="80"/>
      </w:pPr>
      <w:r>
        <w:rPr>
          <w:rFonts w:ascii="Arial" w:cs="Arial" w:eastAsia="Arial" w:hAnsi="Arial"/>
          <w:color w:val="222222"/>
          <w:sz w:val="20"/>
          <w:szCs w:val="20"/>
        </w:rPr>
        <w:t xml:space="preserve">Urban Shift is a territorial screening tool for real estate investors, built on open Copernicus satellite data. The current prototype covers 378 municipalities in the Lazio region and computes a Shift Score for each, based on Imperviousness Density (IMD) 2018 as the only input signal.</w:t>
      </w:r>
    </w:p>
    <w:p>
      <w:pPr>
        <w:spacing w:before="80" w:after="0"/>
      </w:pPr>
    </w:p>
    <w:p>
      <w:pPr>
        <w:spacing w:before="80" w:after="80"/>
      </w:pPr>
      <w:r>
        <w:rPr>
          <w:rFonts w:ascii="Arial" w:cs="Arial" w:eastAsia="Arial" w:hAnsi="Arial"/>
          <w:color w:val="222222"/>
          <w:sz w:val="20"/>
          <w:szCs w:val="20"/>
        </w:rPr>
        <w:t xml:space="preserve">This document defines the next version of the Shift Score (v2): a weighted composite of four indicators drawn from satellite data and open statistical sources. The goal is to move from a single-signal score that measures physical availability of land, toward a multi-signal score that reflects genuine residential real estate opportunity for a 3–7 year value-add investment horizon.</w:t>
      </w:r>
    </w:p>
    <w:p>
      <w:pPr>
        <w:spacing w:before="80" w:after="0"/>
      </w:pPr>
    </w:p>
    <w:p>
      <w:pPr>
        <w:spacing w:before="80" w:after="80"/>
      </w:pPr>
      <w:r>
        <w:rPr>
          <w:rFonts w:ascii="Arial" w:cs="Arial" w:eastAsia="Arial" w:hAnsi="Arial"/>
          <w:color w:val="222222"/>
          <w:sz w:val="20"/>
          <w:szCs w:val="20"/>
        </w:rPr>
        <w:t xml:space="preserve">This brief describes what we want to achieve, why each indicator was chosen, and the proposed implementation approach for your consideration. We welcome your feedback before coding begins.</w:t>
      </w:r>
    </w:p>
    <w:p>
      <w:pPr>
        <w:pBdr>
          <w:bottom w:val="single" w:color="D5E3F0" w:sz="4" w:space="1"/>
        </w:pBdr>
        <w:spacing w:before="240" w:after="200"/>
      </w:pPr>
    </w:p>
    <w:p>
      <w:pPr>
        <w:pStyle w:val="Heading1"/>
        <w:spacing w:before="360" w:after="160"/>
      </w:pPr>
      <w:r>
        <w:rPr>
          <w:rFonts w:ascii="Arial" w:cs="Arial" w:eastAsia="Arial" w:hAnsi="Arial"/>
          <w:b/>
          <w:bCs/>
          <w:color w:val="1B3F6E"/>
          <w:sz w:val="32"/>
          <w:szCs w:val="32"/>
        </w:rPr>
        <w:t xml:space="preserve">2. The Problem with Shift Score v1</w:t>
      </w:r>
    </w:p>
    <w:p>
      <w:pPr>
        <w:spacing w:before="80" w:after="80"/>
      </w:pPr>
      <w:r>
        <w:rPr>
          <w:rFonts w:ascii="Arial" w:cs="Arial" w:eastAsia="Arial" w:hAnsi="Arial"/>
          <w:color w:val="222222"/>
          <w:sz w:val="20"/>
          <w:szCs w:val="20"/>
        </w:rPr>
        <w:t xml:space="preserve">The current score is computed as:</w:t>
      </w:r>
    </w:p>
    <w:p>
      <w:pPr>
        <w:spacing w:before="80" w:after="0"/>
      </w:pPr>
    </w:p>
    <w:p>
      <w:pPr>
        <w:shd w:fill="1E1E1E" w:val="clear"/>
        <w:spacing w:before="0" w:after="0"/>
        <w:ind w:left="360" w:right="360"/>
      </w:pPr>
      <w:r>
        <w:rPr>
          <w:rFonts w:ascii="Courier New" w:cs="Courier New" w:eastAsia="Courier New" w:hAnsi="Courier New"/>
          <w:color w:val="D4D4D4"/>
          <w:sz w:val="18"/>
          <w:szCs w:val="18"/>
        </w:rPr>
        <w:t xml:space="preserve">Shift Score = 100 - imd_mean</w:t>
      </w:r>
    </w:p>
    <w:p>
      <w:pPr>
        <w:spacing w:before="120" w:after="0"/>
      </w:pPr>
    </w:p>
    <w:p>
      <w:pPr>
        <w:spacing w:before="80" w:after="80"/>
      </w:pPr>
      <w:r>
        <w:rPr>
          <w:rFonts w:ascii="Arial" w:cs="Arial" w:eastAsia="Arial" w:hAnsi="Arial"/>
          <w:color w:val="222222"/>
          <w:sz w:val="20"/>
          <w:szCs w:val="20"/>
        </w:rPr>
        <w:t xml:space="preserve">This rewards municipalities that are physically undeveloped (low imperviousness). The result is that rural, sparsely populated areas rank highest, while urbanised municipalities with strong economic fundamentals rank lowest.</w:t>
      </w:r>
    </w:p>
    <w:p>
      <w:pPr>
        <w:spacing w:before="80" w:after="0"/>
      </w:pPr>
    </w:p>
    <w:p>
      <w:pPr>
        <w:spacing w:before="80" w:after="80"/>
      </w:pPr>
      <w:r>
        <w:rPr>
          <w:rFonts w:ascii="Arial" w:cs="Arial" w:eastAsia="Arial" w:hAnsi="Arial"/>
          <w:color w:val="222222"/>
          <w:sz w:val="20"/>
          <w:szCs w:val="20"/>
        </w:rPr>
        <w:t xml:space="preserve">A fund manager targeting residential value-add investment needs to identify municipalities where housing demand will grow over the next 3–7 years — not simply where fields exist. The current score does not answer that question.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CCCCCC" w:sz="1"/>
              <w:left w:val="single" w:color="CCCCCC" w:sz="1"/>
              <w:bottom w:val="single" w:color="CCCCCC" w:sz="1"/>
              <w:right w:val="single" w:color="CCCCCC" w:sz="1"/>
            </w:tcBorders>
            <w:shd w:fill="1B3F6E" w:val="clear"/>
            <w:tcMar>
              <w:top w:type="dxa" w:w="80"/>
              <w:left w:type="dxa" w:w="120"/>
              <w:bottom w:type="dxa" w:w="80"/>
              <w:right w:type="dxa" w:w="120"/>
            </w:tcMar>
          </w:tcPr>
          <w:p>
            <w:r>
              <w:rPr>
                <w:rFonts w:ascii="Arial" w:cs="Arial" w:eastAsia="Arial" w:hAnsi="Arial"/>
                <w:b/>
                <w:bCs/>
                <w:color w:val="FFFFFF"/>
                <w:sz w:val="20"/>
                <w:szCs w:val="20"/>
              </w:rPr>
              <w:t xml:space="preserve">Shift Score v1</w:t>
            </w:r>
          </w:p>
        </w:tc>
        <w:tc>
          <w:tcPr>
            <w:tcW w:type="dxa" w:w="4680"/>
            <w:gridSpan w:val="1"/>
            <w:tcBorders>
              <w:top w:val="single" w:color="CCCCCC" w:sz="1"/>
              <w:left w:val="single" w:color="CCCCCC" w:sz="1"/>
              <w:bottom w:val="single" w:color="CCCCCC" w:sz="1"/>
              <w:right w:val="single" w:color="CCCCCC" w:sz="1"/>
            </w:tcBorders>
            <w:shd w:fill="1B3F6E" w:val="clear"/>
            <w:tcMar>
              <w:top w:type="dxa" w:w="80"/>
              <w:left w:type="dxa" w:w="120"/>
              <w:bottom w:type="dxa" w:w="80"/>
              <w:right w:type="dxa" w:w="120"/>
            </w:tcMar>
          </w:tcPr>
          <w:p>
            <w:r>
              <w:rPr>
                <w:rFonts w:ascii="Arial" w:cs="Arial" w:eastAsia="Arial" w:hAnsi="Arial"/>
                <w:b/>
                <w:bCs/>
                <w:color w:val="FFFFFF"/>
                <w:sz w:val="20"/>
                <w:szCs w:val="20"/>
              </w:rPr>
              <w:t xml:space="preserve">Shift Score v2 (proposed)</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signal: IMD only</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Four signals: IMD + TCD + demographics + accessibility</w:t>
            </w:r>
          </w:p>
        </w:tc>
      </w:tr>
      <w:tr>
        <w:tc>
          <w:tcPr>
            <w:tcW w:type="dxa" w:w="46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Measures physical availability of land</w:t>
            </w:r>
          </w:p>
        </w:tc>
        <w:tc>
          <w:tcPr>
            <w:tcW w:type="dxa" w:w="46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Measures residential investment opportunity</w:t>
            </w:r>
          </w:p>
        </w:tc>
      </w:tr>
      <w:tr>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Static — IMD 2018 data</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 IMD 2021 and TCD 2021</w:t>
            </w:r>
          </w:p>
        </w:tc>
      </w:tr>
      <w:tr>
        <w:tc>
          <w:tcPr>
            <w:tcW w:type="dxa" w:w="46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No demand signal</w:t>
            </w:r>
          </w:p>
        </w:tc>
        <w:tc>
          <w:tcPr>
            <w:tcW w:type="dxa" w:w="46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Includes 10-year population trend and road connectivity to Rome</w:t>
            </w:r>
          </w:p>
        </w:tc>
      </w:tr>
    </w:tbl>
    <w:p>
      <w:pPr>
        <w:pBdr>
          <w:bottom w:val="single" w:color="D5E3F0" w:sz="4" w:space="1"/>
        </w:pBdr>
        <w:spacing w:before="240" w:after="200"/>
      </w:pPr>
    </w:p>
    <w:p>
      <w:pPr>
        <w:pStyle w:val="Heading1"/>
        <w:spacing w:before="360" w:after="160"/>
      </w:pPr>
      <w:r>
        <w:rPr>
          <w:rFonts w:ascii="Arial" w:cs="Arial" w:eastAsia="Arial" w:hAnsi="Arial"/>
          <w:b/>
          <w:bCs/>
          <w:color w:val="1B3F6E"/>
          <w:sz w:val="32"/>
          <w:szCs w:val="32"/>
        </w:rPr>
        <w:t xml:space="preserve">3. The Four Indicators</w:t>
      </w:r>
    </w:p>
    <w:p>
      <w:pPr>
        <w:spacing w:before="80" w:after="80"/>
      </w:pPr>
      <w:r>
        <w:rPr>
          <w:rFonts w:ascii="Arial" w:cs="Arial" w:eastAsia="Arial" w:hAnsi="Arial"/>
          <w:color w:val="222222"/>
          <w:sz w:val="20"/>
          <w:szCs w:val="20"/>
        </w:rPr>
        <w:t xml:space="preserve">Each indicator is normalised independently to a 0–100 scale (min-max across all 378 Lazio municipalities) before being combined. This ensures that no single indicator dominates the score due to its unit or magnitude.</w:t>
      </w:r>
    </w:p>
    <w:p>
      <w:pPr>
        <w:spacing w:before="160" w:after="0"/>
      </w:pPr>
    </w:p>
    <w:p>
      <w:pPr>
        <w:pStyle w:val="Heading2"/>
        <w:spacing w:before="280" w:after="120"/>
      </w:pPr>
      <w:r>
        <w:rPr>
          <w:rFonts w:ascii="Arial" w:cs="Arial" w:eastAsia="Arial" w:hAnsi="Arial"/>
          <w:b/>
          <w:bCs/>
          <w:color w:val="2E6DA4"/>
          <w:sz w:val="26"/>
          <w:szCs w:val="26"/>
        </w:rPr>
        <w:t xml:space="preserve">3.1  Imperviousness Density (IMD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B3F6E"/>
                <w:sz w:val="20"/>
                <w:szCs w:val="20"/>
              </w:rPr>
              <w:t xml:space="preserve">Weight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35%</w:t>
            </w:r>
          </w:p>
        </w:tc>
      </w:tr>
    </w:tbl>
    <w:p>
      <w:pPr>
        <w:spacing w:before="100" w:after="0"/>
      </w:pPr>
    </w:p>
    <w:p>
      <w:pPr>
        <w:spacing w:before="80" w:after="80"/>
      </w:pPr>
      <w:r>
        <w:rPr>
          <w:rFonts w:ascii="Arial" w:cs="Arial" w:eastAsia="Arial" w:hAnsi="Arial"/>
          <w:color w:val="222222"/>
          <w:sz w:val="20"/>
          <w:szCs w:val="20"/>
        </w:rPr>
        <w:t xml:space="preserve">Imperviousness Density measures the proportion of a pixel classified as sealed surface (roads, rooftops, parking areas). Produced by the Copernicus Land Monitoring Service at 10m resolution, updated every three years.</w:t>
      </w:r>
    </w:p>
    <w:p>
      <w:pPr>
        <w:spacing w:before="80" w:after="0"/>
      </w:pPr>
    </w:p>
    <w:p>
      <w:pPr>
        <w:spacing w:before="80" w:after="80"/>
      </w:pPr>
      <w:r>
        <w:rPr>
          <w:rFonts w:ascii="Arial" w:cs="Arial" w:eastAsia="Arial" w:hAnsi="Arial"/>
          <w:color w:val="222222"/>
          <w:sz w:val="20"/>
          <w:szCs w:val="20"/>
        </w:rPr>
        <w:t xml:space="preserve">A low IMD value means more unsealed, potentially buildable land. The score contribution is inverted:</w:t>
      </w:r>
    </w:p>
    <w:p>
      <w:pPr>
        <w:spacing w:before="80" w:after="0"/>
      </w:pPr>
    </w:p>
    <w:p>
      <w:pPr>
        <w:shd w:fill="1E1E1E" w:val="clear"/>
        <w:spacing w:before="0" w:after="0"/>
        <w:ind w:left="360" w:right="360"/>
      </w:pPr>
      <w:r>
        <w:rPr>
          <w:rFonts w:ascii="Courier New" w:cs="Courier New" w:eastAsia="Courier New" w:hAnsi="Courier New"/>
          <w:color w:val="D4D4D4"/>
          <w:sz w:val="18"/>
          <w:szCs w:val="18"/>
        </w:rPr>
        <w:t xml:space="preserve">imd_score = 100 - imd_mean   # zonal mean across the municipality polygon</w:t>
      </w:r>
    </w:p>
    <w:p>
      <w:pPr>
        <w:spacing w:before="80" w:after="0"/>
      </w:pPr>
    </w:p>
    <w:p>
      <w:pPr>
        <w:pStyle w:val="ListParagraph"/>
        <w:numPr>
          <w:ilvl w:val="0"/>
          <w:numId w:val="2"/>
        </w:numPr>
        <w:spacing w:before="40" w:after="40"/>
      </w:pPr>
      <w:r>
        <w:rPr>
          <w:rFonts w:ascii="Arial" w:cs="Arial" w:eastAsia="Arial" w:hAnsi="Arial"/>
          <w:color w:val="222222"/>
          <w:sz w:val="20"/>
          <w:szCs w:val="20"/>
        </w:rPr>
        <w:t xml:space="preserve">Source: Copernicus Land Monitoring Service — HRL Imperviousness 2021</w:t>
      </w:r>
    </w:p>
    <w:p>
      <w:pPr>
        <w:pStyle w:val="ListParagraph"/>
        <w:numPr>
          <w:ilvl w:val="0"/>
          <w:numId w:val="2"/>
        </w:numPr>
        <w:spacing w:before="40" w:after="40"/>
      </w:pPr>
      <w:r>
        <w:rPr>
          <w:rFonts w:ascii="Arial" w:cs="Arial" w:eastAsia="Arial" w:hAnsi="Arial"/>
          <w:color w:val="222222"/>
          <w:sz w:val="20"/>
          <w:szCs w:val="20"/>
        </w:rPr>
        <w:t xml:space="preserve">Access: WEkEO portal (free, registration required)</w:t>
      </w:r>
    </w:p>
    <w:p>
      <w:pPr>
        <w:pStyle w:val="ListParagraph"/>
        <w:numPr>
          <w:ilvl w:val="0"/>
          <w:numId w:val="2"/>
        </w:numPr>
        <w:spacing w:before="40" w:after="40"/>
      </w:pPr>
      <w:r>
        <w:rPr>
          <w:rFonts w:ascii="Arial" w:cs="Arial" w:eastAsia="Arial" w:hAnsi="Arial"/>
          <w:color w:val="222222"/>
          <w:sz w:val="20"/>
          <w:szCs w:val="20"/>
        </w:rPr>
        <w:t xml:space="preserve">Format: GeoTIFF tiles, 100×100 km EEA grid</w:t>
      </w:r>
    </w:p>
    <w:p>
      <w:pPr>
        <w:pStyle w:val="ListParagraph"/>
        <w:numPr>
          <w:ilvl w:val="0"/>
          <w:numId w:val="2"/>
        </w:numPr>
        <w:spacing w:before="40" w:after="40"/>
      </w:pPr>
      <w:r>
        <w:rPr>
          <w:rFonts w:ascii="Arial" w:cs="Arial" w:eastAsia="Arial" w:hAnsi="Arial"/>
          <w:color w:val="222222"/>
          <w:sz w:val="20"/>
          <w:szCs w:val="20"/>
        </w:rPr>
        <w:t xml:space="preserve">Status: already in pipeline — tile update only required</w:t>
      </w:r>
    </w:p>
    <w:p>
      <w:pPr>
        <w:spacing w:before="160" w:after="0"/>
      </w:pPr>
    </w:p>
    <w:p>
      <w:pPr>
        <w:pStyle w:val="Heading2"/>
        <w:spacing w:before="280" w:after="120"/>
      </w:pPr>
      <w:r>
        <w:rPr>
          <w:rFonts w:ascii="Arial" w:cs="Arial" w:eastAsia="Arial" w:hAnsi="Arial"/>
          <w:b/>
          <w:bCs/>
          <w:color w:val="2E6DA4"/>
          <w:sz w:val="26"/>
          <w:szCs w:val="26"/>
        </w:rPr>
        <w:t xml:space="preserve">3.2  Tree Cover Density (TCD 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B3F6E"/>
                <w:sz w:val="20"/>
                <w:szCs w:val="20"/>
              </w:rPr>
              <w:t xml:space="preserve">Weight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25%</w:t>
            </w:r>
          </w:p>
        </w:tc>
      </w:tr>
    </w:tbl>
    <w:p>
      <w:pPr>
        <w:spacing w:before="100" w:after="0"/>
      </w:pPr>
    </w:p>
    <w:p>
      <w:pPr>
        <w:spacing w:before="80" w:after="80"/>
      </w:pPr>
      <w:r>
        <w:rPr>
          <w:rFonts w:ascii="Arial" w:cs="Arial" w:eastAsia="Arial" w:hAnsi="Arial"/>
          <w:color w:val="222222"/>
          <w:sz w:val="20"/>
          <w:szCs w:val="20"/>
        </w:rPr>
        <w:t xml:space="preserve">Tree Cover Density measures the percentage of tree canopy per pixel, also from Copernicus HRL at 10m resolution. Higher green coverage correlates with residential desirability and long-term asset value, particularly in peri-urban areas.</w:t>
      </w:r>
    </w:p>
    <w:p>
      <w:pPr>
        <w:spacing w:before="80" w:after="0"/>
      </w:pPr>
    </w:p>
    <w:p>
      <w:pPr>
        <w:spacing w:before="80" w:after="80"/>
      </w:pPr>
      <w:r>
        <w:rPr>
          <w:rFonts w:ascii="Arial" w:cs="Arial" w:eastAsia="Arial" w:hAnsi="Arial"/>
          <w:color w:val="222222"/>
          <w:sz w:val="20"/>
          <w:szCs w:val="20"/>
        </w:rPr>
        <w:t xml:space="preserve">Unlike IMD, TCD is used directly (not inverted): more green cover = higher score contribution.</w:t>
      </w:r>
    </w:p>
    <w:p>
      <w:pPr>
        <w:spacing w:before="80" w:after="0"/>
      </w:pPr>
    </w:p>
    <w:p>
      <w:pPr>
        <w:shd w:fill="1E1E1E" w:val="clear"/>
        <w:spacing w:before="0" w:after="0"/>
        <w:ind w:left="360" w:right="360"/>
      </w:pPr>
      <w:r>
        <w:rPr>
          <w:rFonts w:ascii="Courier New" w:cs="Courier New" w:eastAsia="Courier New" w:hAnsi="Courier New"/>
          <w:color w:val="D4D4D4"/>
          <w:sz w:val="18"/>
          <w:szCs w:val="18"/>
        </w:rPr>
        <w:t xml:space="preserve">tcd_score = tcd_mean   # normalised 0-100 across all municipalities</w:t>
      </w:r>
    </w:p>
    <w:p>
      <w:pPr>
        <w:spacing w:before="80" w:after="0"/>
      </w:pPr>
    </w:p>
    <w:p>
      <w:pPr>
        <w:pStyle w:val="ListParagraph"/>
        <w:numPr>
          <w:ilvl w:val="0"/>
          <w:numId w:val="2"/>
        </w:numPr>
        <w:spacing w:before="40" w:after="40"/>
      </w:pPr>
      <w:r>
        <w:rPr>
          <w:rFonts w:ascii="Arial" w:cs="Arial" w:eastAsia="Arial" w:hAnsi="Arial"/>
          <w:color w:val="222222"/>
          <w:sz w:val="20"/>
          <w:szCs w:val="20"/>
        </w:rPr>
        <w:t xml:space="preserve">Source: Copernicus Land Monitoring Service — HRL Tree Cover Density 2021</w:t>
      </w:r>
    </w:p>
    <w:p>
      <w:pPr>
        <w:pStyle w:val="ListParagraph"/>
        <w:numPr>
          <w:ilvl w:val="0"/>
          <w:numId w:val="2"/>
        </w:numPr>
        <w:spacing w:before="40" w:after="40"/>
      </w:pPr>
      <w:r>
        <w:rPr>
          <w:rFonts w:ascii="Arial" w:cs="Arial" w:eastAsia="Arial" w:hAnsi="Arial"/>
          <w:color w:val="222222"/>
          <w:sz w:val="20"/>
          <w:szCs w:val="20"/>
        </w:rPr>
        <w:t xml:space="preserve">Access: WEkEO portal (same download workflow as IMD)</w:t>
      </w:r>
    </w:p>
    <w:p>
      <w:pPr>
        <w:pStyle w:val="ListParagraph"/>
        <w:numPr>
          <w:ilvl w:val="0"/>
          <w:numId w:val="2"/>
        </w:numPr>
        <w:spacing w:before="40" w:after="40"/>
      </w:pPr>
      <w:r>
        <w:rPr>
          <w:rFonts w:ascii="Arial" w:cs="Arial" w:eastAsia="Arial" w:hAnsi="Arial"/>
          <w:color w:val="222222"/>
          <w:sz w:val="20"/>
          <w:szCs w:val="20"/>
        </w:rPr>
        <w:t xml:space="preserve">Format: GeoTIFF tiles, same EEA grid as IMD</w:t>
      </w:r>
    </w:p>
    <w:p>
      <w:pPr>
        <w:pStyle w:val="ListParagraph"/>
        <w:numPr>
          <w:ilvl w:val="0"/>
          <w:numId w:val="2"/>
        </w:numPr>
        <w:spacing w:before="40" w:after="40"/>
      </w:pPr>
      <w:r>
        <w:rPr>
          <w:rFonts w:ascii="Arial" w:cs="Arial" w:eastAsia="Arial" w:hAnsi="Arial"/>
          <w:color w:val="222222"/>
          <w:sz w:val="20"/>
          <w:szCs w:val="20"/>
        </w:rPr>
        <w:t xml:space="preserve">Status: new data source, same processing pattern as IMD</w:t>
      </w:r>
    </w:p>
    <w:p>
      <w:pPr>
        <w:spacing w:before="160" w:after="0"/>
      </w:pPr>
    </w:p>
    <w:p>
      <w:pPr>
        <w:pStyle w:val="Heading2"/>
        <w:spacing w:before="280" w:after="120"/>
      </w:pPr>
      <w:r>
        <w:rPr>
          <w:rFonts w:ascii="Arial" w:cs="Arial" w:eastAsia="Arial" w:hAnsi="Arial"/>
          <w:b/>
          <w:bCs/>
          <w:color w:val="2E6DA4"/>
          <w:sz w:val="26"/>
          <w:szCs w:val="26"/>
        </w:rPr>
        <w:t xml:space="preserve">3.3  Population Growth Index (2011–2021)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B3F6E"/>
                <w:sz w:val="20"/>
                <w:szCs w:val="20"/>
              </w:rPr>
              <w:t xml:space="preserve">Weight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30%</w:t>
            </w:r>
          </w:p>
        </w:tc>
      </w:tr>
    </w:tbl>
    <w:p>
      <w:pPr>
        <w:spacing w:before="100" w:after="0"/>
      </w:pPr>
    </w:p>
    <w:p>
      <w:pPr>
        <w:spacing w:before="80" w:after="80"/>
      </w:pPr>
      <w:r>
        <w:rPr>
          <w:rFonts w:ascii="Arial" w:cs="Arial" w:eastAsia="Arial" w:hAnsi="Arial"/>
          <w:color w:val="222222"/>
          <w:sz w:val="20"/>
          <w:szCs w:val="20"/>
        </w:rPr>
        <w:t xml:space="preserve">This is the most important new addition. A municipality that has grown in population over the past decade demonstrates that people are actively choosing to move there — a leading signal for future residential demand. Declining municipalities represent demographic risk for a medium-term investment.</w:t>
      </w:r>
    </w:p>
    <w:p>
      <w:pPr>
        <w:spacing w:before="80" w:after="0"/>
      </w:pPr>
    </w:p>
    <w:p>
      <w:pPr>
        <w:spacing w:before="80" w:after="80"/>
      </w:pPr>
      <w:r>
        <w:rPr>
          <w:rFonts w:ascii="Arial" w:cs="Arial" w:eastAsia="Arial" w:hAnsi="Arial"/>
          <w:color w:val="222222"/>
          <w:sz w:val="20"/>
          <w:szCs w:val="20"/>
        </w:rPr>
        <w:t xml:space="preserve">We use the decadal change between the 2011 and 2021 censuses, expressed as a percentage:</w:t>
      </w:r>
    </w:p>
    <w:p>
      <w:pPr>
        <w:spacing w:before="80" w:after="0"/>
      </w:pPr>
    </w:p>
    <w:p>
      <w:pPr>
        <w:shd w:fill="1E1E1E" w:val="clear"/>
        <w:spacing w:before="0" w:after="0"/>
        <w:ind w:left="360" w:right="360"/>
      </w:pPr>
      <w:r>
        <w:rPr>
          <w:rFonts w:ascii="Courier New" w:cs="Courier New" w:eastAsia="Courier New" w:hAnsi="Courier New"/>
          <w:color w:val="D4D4D4"/>
          <w:sz w:val="18"/>
          <w:szCs w:val="18"/>
        </w:rPr>
        <w:t xml:space="preserve">pop_growth_pct = (pop_2021 - pop_2011) / pop_2011 * 100</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pop_growth_score = min-max normalised across all 378 municipalities</w:t>
      </w:r>
    </w:p>
    <w:p>
      <w:pPr>
        <w:spacing w:before="80" w:after="0"/>
      </w:pPr>
    </w:p>
    <w:p>
      <w:pPr>
        <w:spacing w:before="80" w:after="80"/>
      </w:pPr>
      <w:r>
        <w:rPr>
          <w:rFonts w:ascii="Arial" w:cs="Arial" w:eastAsia="Arial" w:hAnsi="Arial"/>
          <w:color w:val="222222"/>
          <w:sz w:val="20"/>
          <w:szCs w:val="20"/>
        </w:rPr>
        <w:t xml:space="preserve">ISTAT exposes this data via a public SDMX REST API, queryable programmatically in Python. Example call for Lazio municipalities:</w:t>
      </w:r>
    </w:p>
    <w:p>
      <w:pPr>
        <w:spacing w:before="80" w:after="0"/>
      </w:pPr>
    </w:p>
    <w:p>
      <w:pPr>
        <w:shd w:fill="1E1E1E" w:val="clear"/>
        <w:spacing w:before="0" w:after="0"/>
        <w:ind w:left="360" w:right="360"/>
      </w:pPr>
      <w:r>
        <w:rPr>
          <w:rFonts w:ascii="Courier New" w:cs="Courier New" w:eastAsia="Courier New" w:hAnsi="Courier New"/>
          <w:color w:val="D4D4D4"/>
          <w:sz w:val="18"/>
          <w:szCs w:val="18"/>
        </w:rPr>
        <w:t xml:space="preserve">import requests</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url = (</w:t>
      </w:r>
    </w:p>
    <w:p>
      <w:pPr>
        <w:shd w:fill="1E1E1E" w:val="clear"/>
        <w:spacing w:before="0" w:after="0"/>
        <w:ind w:left="360" w:right="360"/>
      </w:pPr>
      <w:r>
        <w:rPr>
          <w:rFonts w:ascii="Courier New" w:cs="Courier New" w:eastAsia="Courier New" w:hAnsi="Courier New"/>
          <w:color w:val="D4D4D4"/>
          <w:sz w:val="18"/>
          <w:szCs w:val="18"/>
        </w:rPr>
        <w:t xml:space="preserve">    'https://sdmx.istat.it/SDMXWS/rest/data/22_289'</w:t>
      </w:r>
    </w:p>
    <w:p>
      <w:pPr>
        <w:shd w:fill="1E1E1E" w:val="clear"/>
        <w:spacing w:before="0" w:after="0"/>
        <w:ind w:left="360" w:right="360"/>
      </w:pPr>
      <w:r>
        <w:rPr>
          <w:rFonts w:ascii="Courier New" w:cs="Courier New" w:eastAsia="Courier New" w:hAnsi="Courier New"/>
          <w:color w:val="D4D4D4"/>
          <w:sz w:val="18"/>
          <w:szCs w:val="18"/>
        </w:rPr>
        <w:t xml:space="preserve">    '/.TOTAL..9.99../'</w:t>
      </w:r>
    </w:p>
    <w:p>
      <w:pPr>
        <w:shd w:fill="1E1E1E" w:val="clear"/>
        <w:spacing w:before="0" w:after="0"/>
        <w:ind w:left="360" w:right="360"/>
      </w:pPr>
      <w:r>
        <w:rPr>
          <w:rFonts w:ascii="Courier New" w:cs="Courier New" w:eastAsia="Courier New" w:hAnsi="Courier New"/>
          <w:color w:val="D4D4D4"/>
          <w:sz w:val="18"/>
          <w:szCs w:val="18"/>
        </w:rPr>
        <w:t xml:space="preserve">    '?startPeriod=2011&amp;endPeriod=2021'</w:t>
      </w:r>
    </w:p>
    <w:p>
      <w:pPr>
        <w:shd w:fill="1E1E1E" w:val="clear"/>
        <w:spacing w:before="0" w:after="0"/>
        <w:ind w:left="360" w:right="360"/>
      </w:pPr>
      <w:r>
        <w:rPr>
          <w:rFonts w:ascii="Courier New" w:cs="Courier New" w:eastAsia="Courier New" w:hAnsi="Courier New"/>
          <w:color w:val="D4D4D4"/>
          <w:sz w:val="18"/>
          <w:szCs w:val="18"/>
        </w:rPr>
        <w:t xml:space="preserve">)</w:t>
      </w:r>
    </w:p>
    <w:p>
      <w:pPr>
        <w:shd w:fill="1E1E1E" w:val="clear"/>
        <w:spacing w:before="0" w:after="0"/>
        <w:ind w:left="360" w:right="360"/>
      </w:pPr>
      <w:r>
        <w:rPr>
          <w:rFonts w:ascii="Courier New" w:cs="Courier New" w:eastAsia="Courier New" w:hAnsi="Courier New"/>
          <w:color w:val="D4D4D4"/>
          <w:sz w:val="18"/>
          <w:szCs w:val="18"/>
        </w:rPr>
        <w:t xml:space="preserve">headers = {'Accept': 'application/vnd.sdmx.data+csv;version=1.0.0'}</w:t>
      </w:r>
    </w:p>
    <w:p>
      <w:pPr>
        <w:shd w:fill="1E1E1E" w:val="clear"/>
        <w:spacing w:before="0" w:after="0"/>
        <w:ind w:left="360" w:right="360"/>
      </w:pPr>
      <w:r>
        <w:rPr>
          <w:rFonts w:ascii="Courier New" w:cs="Courier New" w:eastAsia="Courier New" w:hAnsi="Courier New"/>
          <w:color w:val="D4D4D4"/>
          <w:sz w:val="18"/>
          <w:szCs w:val="18"/>
        </w:rPr>
        <w:t xml:space="preserve">r = requests.get(url, headers=headers)</w:t>
      </w:r>
    </w:p>
    <w:p>
      <w:pPr>
        <w:shd w:fill="1E1E1E" w:val="clear"/>
        <w:spacing w:before="0" w:after="0"/>
        <w:ind w:left="360" w:right="360"/>
      </w:pPr>
      <w:r>
        <w:rPr>
          <w:rFonts w:ascii="Courier New" w:cs="Courier New" w:eastAsia="Courier New" w:hAnsi="Courier New"/>
          <w:color w:val="D4D4D4"/>
          <w:sz w:val="18"/>
          <w:szCs w:val="18"/>
        </w:rPr>
        <w:t xml:space="preserve"># then filter rows to Lazio comune codes (058xxx)</w:t>
      </w:r>
    </w:p>
    <w:p>
      <w:pPr>
        <w:spacing w:before="80" w:after="0"/>
      </w:pPr>
    </w:p>
    <w:p>
      <w:pPr>
        <w:spacing w:before="80" w:after="80"/>
      </w:pPr>
      <w:r>
        <w:rPr>
          <w:rFonts w:ascii="Arial" w:cs="Arial" w:eastAsia="Arial" w:hAnsi="Arial"/>
          <w:color w:val="222222"/>
          <w:sz w:val="20"/>
          <w:szCs w:val="20"/>
        </w:rPr>
        <w:t xml:space="preserve">Note: the ISTAT SDMX endpoint enforces a rate limit of 5 queries per minute per IP. A single filtered call is sufficient and will not trigger this limit.</w:t>
      </w:r>
    </w:p>
    <w:p>
      <w:pPr>
        <w:spacing w:before="80" w:after="0"/>
      </w:pPr>
    </w:p>
    <w:p>
      <w:pPr>
        <w:pStyle w:val="ListParagraph"/>
        <w:numPr>
          <w:ilvl w:val="0"/>
          <w:numId w:val="2"/>
        </w:numPr>
        <w:spacing w:before="40" w:after="40"/>
      </w:pPr>
      <w:r>
        <w:rPr>
          <w:rFonts w:ascii="Arial" w:cs="Arial" w:eastAsia="Arial" w:hAnsi="Arial"/>
          <w:color w:val="222222"/>
          <w:sz w:val="20"/>
          <w:szCs w:val="20"/>
        </w:rPr>
        <w:t xml:space="preserve">Source: ISTAT — Popolazione residente per comune (dataset 22_289)</w:t>
      </w:r>
    </w:p>
    <w:p>
      <w:pPr>
        <w:pStyle w:val="ListParagraph"/>
        <w:numPr>
          <w:ilvl w:val="0"/>
          <w:numId w:val="2"/>
        </w:numPr>
        <w:spacing w:before="40" w:after="40"/>
      </w:pPr>
      <w:r>
        <w:rPr>
          <w:rFonts w:ascii="Arial" w:cs="Arial" w:eastAsia="Arial" w:hAnsi="Arial"/>
          <w:color w:val="222222"/>
          <w:sz w:val="20"/>
          <w:szCs w:val="20"/>
        </w:rPr>
        <w:t xml:space="preserve">Access: SDMX REST API, no registration required</w:t>
      </w:r>
    </w:p>
    <w:p>
      <w:pPr>
        <w:pStyle w:val="ListParagraph"/>
        <w:numPr>
          <w:ilvl w:val="0"/>
          <w:numId w:val="2"/>
        </w:numPr>
        <w:spacing w:before="40" w:after="40"/>
      </w:pPr>
      <w:r>
        <w:rPr>
          <w:rFonts w:ascii="Arial" w:cs="Arial" w:eastAsia="Arial" w:hAnsi="Arial"/>
          <w:color w:val="222222"/>
          <w:sz w:val="20"/>
          <w:szCs w:val="20"/>
        </w:rPr>
        <w:t xml:space="preserve">Format: CSV returned directly in the HTTP response</w:t>
      </w:r>
    </w:p>
    <w:p>
      <w:pPr>
        <w:pStyle w:val="ListParagraph"/>
        <w:numPr>
          <w:ilvl w:val="0"/>
          <w:numId w:val="2"/>
        </w:numPr>
        <w:spacing w:before="40" w:after="40"/>
      </w:pPr>
      <w:r>
        <w:rPr>
          <w:rFonts w:ascii="Arial" w:cs="Arial" w:eastAsia="Arial" w:hAnsi="Arial"/>
          <w:color w:val="222222"/>
          <w:sz w:val="20"/>
          <w:szCs w:val="20"/>
        </w:rPr>
        <w:t xml:space="preserve">Status: new data source — HTTP request + pandas join only, no raster processing</w:t>
      </w:r>
    </w:p>
    <w:p>
      <w:pPr>
        <w:pStyle w:val="ListParagraph"/>
        <w:numPr>
          <w:ilvl w:val="0"/>
          <w:numId w:val="2"/>
        </w:numPr>
        <w:spacing w:before="40" w:after="40"/>
      </w:pPr>
      <w:r>
        <w:rPr>
          <w:rFonts w:ascii="Arial" w:cs="Arial" w:eastAsia="Arial" w:hAnsi="Arial"/>
          <w:color w:val="222222"/>
          <w:sz w:val="20"/>
          <w:szCs w:val="20"/>
        </w:rPr>
        <w:t xml:space="preserve">Join key: 6-digit ISTAT comune code (e.g. 058091) — must match the id field in municipalities.geojson</w:t>
      </w:r>
    </w:p>
    <w:p>
      <w:pPr>
        <w:spacing w:before="80" w:after="0"/>
      </w:pPr>
    </w:p>
    <w:p>
      <w:pPr>
        <w:pBdr>
          <w:left w:val="single" w:color="F0B429" w:sz="12" w:space="8"/>
        </w:pBdr>
        <w:shd w:fill="FFF8E1" w:val="clear"/>
        <w:spacing w:before="80" w:after="80"/>
        <w:ind w:left="200"/>
      </w:pPr>
      <w:r>
        <w:rPr>
          <w:rFonts w:ascii="Arial" w:cs="Arial" w:eastAsia="Arial" w:hAnsi="Arial"/>
          <w:color w:val="5C4300"/>
          <w:sz w:val="20"/>
          <w:szCs w:val="20"/>
        </w:rPr>
        <w:t xml:space="preserve">Action needed before coding: please confirm whether the id field in municipalities.geojson currently stores the 6-digit ISTAT comune code. If it uses a different identifier, a mapping table will be required.</w:t>
      </w:r>
    </w:p>
    <w:p>
      <w:pPr>
        <w:spacing w:before="160" w:after="0"/>
      </w:pPr>
    </w:p>
    <w:p>
      <w:pPr>
        <w:pStyle w:val="Heading2"/>
        <w:spacing w:before="280" w:after="120"/>
      </w:pPr>
      <w:r>
        <w:rPr>
          <w:rFonts w:ascii="Arial" w:cs="Arial" w:eastAsia="Arial" w:hAnsi="Arial"/>
          <w:b/>
          <w:bCs/>
          <w:color w:val="2E6DA4"/>
          <w:sz w:val="26"/>
          <w:szCs w:val="26"/>
        </w:rPr>
        <w:t xml:space="preserve">3.4  Accessibility Score (Drive Time to Rome)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tcPr>
          <w:p>
            <w:r>
              <w:rPr>
                <w:rFonts w:ascii="Arial" w:cs="Arial" w:eastAsia="Arial" w:hAnsi="Arial"/>
                <w:b/>
                <w:bCs/>
                <w:color w:val="1B3F6E"/>
                <w:sz w:val="20"/>
                <w:szCs w:val="20"/>
              </w:rPr>
              <w:t xml:space="preserve">Weight</w:t>
            </w:r>
          </w:p>
        </w:tc>
        <w:tc>
          <w:tcPr>
            <w:tcW w:type="dxa" w:w="7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w:t>
            </w:r>
          </w:p>
        </w:tc>
      </w:tr>
    </w:tbl>
    <w:p>
      <w:pPr>
        <w:spacing w:before="100" w:after="0"/>
      </w:pPr>
    </w:p>
    <w:p>
      <w:pPr>
        <w:spacing w:before="80" w:after="80"/>
      </w:pPr>
      <w:r>
        <w:rPr>
          <w:rFonts w:ascii="Arial" w:cs="Arial" w:eastAsia="Arial" w:hAnsi="Arial"/>
          <w:color w:val="222222"/>
          <w:sz w:val="20"/>
          <w:szCs w:val="20"/>
        </w:rPr>
        <w:t xml:space="preserve">For residential investment in Lazio, proximity to Rome is a primary structural driver of housing demand. A well-connected municipality is more attractive to buyers and renters than an equally green, equally undeveloped one that is remote.</w:t>
      </w:r>
    </w:p>
    <w:p>
      <w:pPr>
        <w:spacing w:before="80" w:after="0"/>
      </w:pPr>
    </w:p>
    <w:p>
      <w:pPr>
        <w:spacing w:before="80" w:after="80"/>
      </w:pPr>
      <w:r>
        <w:rPr>
          <w:rFonts w:ascii="Arial" w:cs="Arial" w:eastAsia="Arial" w:hAnsi="Arial"/>
          <w:color w:val="222222"/>
          <w:sz w:val="20"/>
          <w:szCs w:val="20"/>
        </w:rPr>
        <w:t xml:space="preserve">We propose computing actual driving time (in minutes) from each municipality centroid to central Rome (Piazza Venezia) using the OSRM public routing API. OSRM is free and requires no API key.</w:t>
      </w:r>
    </w:p>
    <w:p>
      <w:pPr>
        <w:spacing w:before="80" w:after="0"/>
      </w:pPr>
    </w:p>
    <w:p>
      <w:pPr>
        <w:shd w:fill="1E1E1E" w:val="clear"/>
        <w:spacing w:before="0" w:after="0"/>
        <w:ind w:left="360" w:right="360"/>
      </w:pPr>
      <w:r>
        <w:rPr>
          <w:rFonts w:ascii="Courier New" w:cs="Courier New" w:eastAsia="Courier New" w:hAnsi="Courier New"/>
          <w:color w:val="D4D4D4"/>
          <w:sz w:val="18"/>
          <w:szCs w:val="18"/>
        </w:rPr>
        <w:t xml:space="preserve">import requests, time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ROME = (12.4822, 41.8956)   # Piazza Venezia</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def get_drive_minutes(lon, lat):</w:t>
      </w:r>
    </w:p>
    <w:p>
      <w:pPr>
        <w:shd w:fill="1E1E1E" w:val="clear"/>
        <w:spacing w:before="0" w:after="0"/>
        <w:ind w:left="360" w:right="360"/>
      </w:pPr>
      <w:r>
        <w:rPr>
          <w:rFonts w:ascii="Courier New" w:cs="Courier New" w:eastAsia="Courier New" w:hAnsi="Courier New"/>
          <w:color w:val="D4D4D4"/>
          <w:sz w:val="18"/>
          <w:szCs w:val="18"/>
        </w:rPr>
        <w:t xml:space="preserve">    url = (</w:t>
      </w:r>
    </w:p>
    <w:p>
      <w:pPr>
        <w:shd w:fill="1E1E1E" w:val="clear"/>
        <w:spacing w:before="0" w:after="0"/>
        <w:ind w:left="360" w:right="360"/>
      </w:pPr>
      <w:r>
        <w:rPr>
          <w:rFonts w:ascii="Courier New" w:cs="Courier New" w:eastAsia="Courier New" w:hAnsi="Courier New"/>
          <w:color w:val="D4D4D4"/>
          <w:sz w:val="18"/>
          <w:szCs w:val="18"/>
        </w:rPr>
        <w:t xml:space="preserve">        f'https://router.project-osrm.org/route/v1/driving/'</w:t>
      </w:r>
    </w:p>
    <w:p>
      <w:pPr>
        <w:shd w:fill="1E1E1E" w:val="clear"/>
        <w:spacing w:before="0" w:after="0"/>
        <w:ind w:left="360" w:right="360"/>
      </w:pPr>
      <w:r>
        <w:rPr>
          <w:rFonts w:ascii="Courier New" w:cs="Courier New" w:eastAsia="Courier New" w:hAnsi="Courier New"/>
          <w:color w:val="D4D4D4"/>
          <w:sz w:val="18"/>
          <w:szCs w:val="18"/>
        </w:rPr>
        <w:t xml:space="preserve">        f'{lon},{lat};{ROME[0]},{ROME[1]}?overview=false'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r = requests.get(url, timeout=10)</w:t>
      </w:r>
    </w:p>
    <w:p>
      <w:pPr>
        <w:shd w:fill="1E1E1E" w:val="clear"/>
        <w:spacing w:before="0" w:after="0"/>
        <w:ind w:left="360" w:right="360"/>
      </w:pPr>
      <w:r>
        <w:rPr>
          <w:rFonts w:ascii="Courier New" w:cs="Courier New" w:eastAsia="Courier New" w:hAnsi="Courier New"/>
          <w:color w:val="D4D4D4"/>
          <w:sz w:val="18"/>
          <w:szCs w:val="18"/>
        </w:rPr>
        <w:t xml:space="preserve">    return r.json()['routes'][0]['duration'] / 60</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gdf['drive_min'] = gdf.geometry.centroid.apply(</w:t>
      </w:r>
    </w:p>
    <w:p>
      <w:pPr>
        <w:shd w:fill="1E1E1E" w:val="clear"/>
        <w:spacing w:before="0" w:after="0"/>
        <w:ind w:left="360" w:right="360"/>
      </w:pPr>
      <w:r>
        <w:rPr>
          <w:rFonts w:ascii="Courier New" w:cs="Courier New" w:eastAsia="Courier New" w:hAnsi="Courier New"/>
          <w:color w:val="D4D4D4"/>
          <w:sz w:val="18"/>
          <w:szCs w:val="18"/>
        </w:rPr>
        <w:t xml:space="preserve">    lambda p: get_drive_minutes(p.x, p.y)</w:t>
      </w:r>
    </w:p>
    <w:p>
      <w:pPr>
        <w:shd w:fill="1E1E1E" w:val="clear"/>
        <w:spacing w:before="0" w:after="0"/>
        <w:ind w:left="360" w:right="360"/>
      </w:pPr>
      <w:r>
        <w:rPr>
          <w:rFonts w:ascii="Courier New" w:cs="Courier New" w:eastAsia="Courier New" w:hAnsi="Courier New"/>
          <w:color w:val="D4D4D4"/>
          <w:sz w:val="18"/>
          <w:szCs w:val="18"/>
        </w:rPr>
        <w:t xml:space="preserve">)</w:t>
      </w:r>
    </w:p>
    <w:p>
      <w:pPr>
        <w:spacing w:before="80" w:after="0"/>
      </w:pPr>
    </w:p>
    <w:p>
      <w:pPr>
        <w:spacing w:before="80" w:after="80"/>
      </w:pPr>
      <w:r>
        <w:rPr>
          <w:rFonts w:ascii="Arial" w:cs="Arial" w:eastAsia="Arial" w:hAnsi="Arial"/>
          <w:color w:val="222222"/>
          <w:sz w:val="20"/>
          <w:szCs w:val="20"/>
        </w:rPr>
        <w:t xml:space="preserve">The score contribution inverts the drive time (shorter = better) and normalises:</w:t>
      </w:r>
    </w:p>
    <w:p>
      <w:pPr>
        <w:spacing w:before="80" w:after="0"/>
      </w:pPr>
    </w:p>
    <w:p>
      <w:pPr>
        <w:shd w:fill="1E1E1E" w:val="clear"/>
        <w:spacing w:before="0" w:after="0"/>
        <w:ind w:left="360" w:right="360"/>
      </w:pPr>
      <w:r>
        <w:rPr>
          <w:rFonts w:ascii="Courier New" w:cs="Courier New" w:eastAsia="Courier New" w:hAnsi="Courier New"/>
          <w:color w:val="D4D4D4"/>
          <w:sz w:val="18"/>
          <w:szCs w:val="18"/>
        </w:rPr>
        <w:t xml:space="preserve">gdf['access_raw'] = 1 / gdf['drive_min']</w:t>
      </w:r>
    </w:p>
    <w:p>
      <w:pPr>
        <w:shd w:fill="1E1E1E" w:val="clear"/>
        <w:spacing w:before="0" w:after="0"/>
        <w:ind w:left="360" w:right="360"/>
      </w:pPr>
      <w:r>
        <w:rPr>
          <w:rFonts w:ascii="Courier New" w:cs="Courier New" w:eastAsia="Courier New" w:hAnsi="Courier New"/>
          <w:color w:val="D4D4D4"/>
          <w:sz w:val="18"/>
          <w:szCs w:val="18"/>
        </w:rPr>
        <w:t xml:space="preserve"># then apply min-max normalisation across all municipalities</w:t>
      </w:r>
    </w:p>
    <w:p>
      <w:pPr>
        <w:spacing w:before="80" w:after="0"/>
      </w:pPr>
    </w:p>
    <w:p>
      <w:pPr>
        <w:spacing w:before="80" w:after="80"/>
      </w:pPr>
      <w:r>
        <w:rPr>
          <w:rFonts w:ascii="Arial" w:cs="Arial" w:eastAsia="Arial" w:hAnsi="Arial"/>
          <w:color w:val="222222"/>
          <w:sz w:val="20"/>
          <w:szCs w:val="20"/>
        </w:rPr>
        <w:t xml:space="preserve">This requires 378 HTTP calls (one per municipality), taking approximately 2–3 minutes. We recommend computing this once and saving to a CSV file (drive_times.csv) so it does not need to be recomputed on every pipeline run.</w:t>
      </w:r>
    </w:p>
    <w:p>
      <w:pPr>
        <w:spacing w:before="80" w:after="0"/>
      </w:pPr>
    </w:p>
    <w:p>
      <w:pPr>
        <w:pStyle w:val="ListParagraph"/>
        <w:numPr>
          <w:ilvl w:val="0"/>
          <w:numId w:val="2"/>
        </w:numPr>
        <w:spacing w:before="40" w:after="40"/>
      </w:pPr>
      <w:r>
        <w:rPr>
          <w:rFonts w:ascii="Arial" w:cs="Arial" w:eastAsia="Arial" w:hAnsi="Arial"/>
          <w:color w:val="222222"/>
          <w:sz w:val="20"/>
          <w:szCs w:val="20"/>
        </w:rPr>
        <w:t xml:space="preserve">Source: OSRM public routing API (router.project-osrm.org)</w:t>
      </w:r>
    </w:p>
    <w:p>
      <w:pPr>
        <w:pStyle w:val="ListParagraph"/>
        <w:numPr>
          <w:ilvl w:val="0"/>
          <w:numId w:val="2"/>
        </w:numPr>
        <w:spacing w:before="40" w:after="40"/>
      </w:pPr>
      <w:r>
        <w:rPr>
          <w:rFonts w:ascii="Arial" w:cs="Arial" w:eastAsia="Arial" w:hAnsi="Arial"/>
          <w:color w:val="222222"/>
          <w:sz w:val="20"/>
          <w:szCs w:val="20"/>
        </w:rPr>
        <w:t xml:space="preserve">Access: free, no registration, no API key</w:t>
      </w:r>
    </w:p>
    <w:p>
      <w:pPr>
        <w:pStyle w:val="ListParagraph"/>
        <w:numPr>
          <w:ilvl w:val="0"/>
          <w:numId w:val="2"/>
        </w:numPr>
        <w:spacing w:before="40" w:after="40"/>
      </w:pPr>
      <w:r>
        <w:rPr>
          <w:rFonts w:ascii="Arial" w:cs="Arial" w:eastAsia="Arial" w:hAnsi="Arial"/>
          <w:color w:val="222222"/>
          <w:sz w:val="20"/>
          <w:szCs w:val="20"/>
        </w:rPr>
        <w:t xml:space="preserve">Status: new data source — HTTP + geopandas only</w:t>
      </w:r>
    </w:p>
    <w:p>
      <w:pPr>
        <w:pStyle w:val="ListParagraph"/>
        <w:numPr>
          <w:ilvl w:val="0"/>
          <w:numId w:val="2"/>
        </w:numPr>
        <w:spacing w:before="40" w:after="40"/>
      </w:pPr>
      <w:r>
        <w:rPr>
          <w:rFonts w:ascii="Arial" w:cs="Arial" w:eastAsia="Arial" w:hAnsi="Arial"/>
          <w:color w:val="222222"/>
          <w:sz w:val="20"/>
          <w:szCs w:val="20"/>
        </w:rPr>
        <w:t xml:space="preserve">Runtime: approx. 2–3 minutes for 378 municipalities; run once and cache to CSV</w:t>
      </w:r>
    </w:p>
    <w:p>
      <w:pPr>
        <w:pBdr>
          <w:bottom w:val="single" w:color="D5E3F0" w:sz="4" w:space="1"/>
        </w:pBdr>
        <w:spacing w:before="240" w:after="200"/>
      </w:pPr>
    </w:p>
    <w:p>
      <w:pPr>
        <w:pStyle w:val="Heading1"/>
        <w:spacing w:before="360" w:after="160"/>
      </w:pPr>
      <w:r>
        <w:rPr>
          <w:rFonts w:ascii="Arial" w:cs="Arial" w:eastAsia="Arial" w:hAnsi="Arial"/>
          <w:b/>
          <w:bCs/>
          <w:color w:val="1B3F6E"/>
          <w:sz w:val="32"/>
          <w:szCs w:val="32"/>
        </w:rPr>
        <w:t xml:space="preserve">4. Proposed Score Formula</w:t>
      </w:r>
    </w:p>
    <w:p>
      <w:pPr>
        <w:spacing w:before="80" w:after="80"/>
      </w:pPr>
      <w:r>
        <w:rPr>
          <w:rFonts w:ascii="Arial" w:cs="Arial" w:eastAsia="Arial" w:hAnsi="Arial"/>
          <w:color w:val="222222"/>
          <w:sz w:val="20"/>
          <w:szCs w:val="20"/>
        </w:rPr>
        <w:t xml:space="preserve">The final Shift Score is a weighted linear combination of the four normalised indicators:</w:t>
      </w:r>
    </w:p>
    <w:p>
      <w:pPr>
        <w:spacing w:before="100" w:after="0"/>
      </w:pPr>
    </w:p>
    <w:p>
      <w:pPr>
        <w:shd w:fill="1E1E1E" w:val="clear"/>
        <w:spacing w:before="0" w:after="0"/>
        <w:ind w:left="360" w:right="360"/>
      </w:pPr>
      <w:r>
        <w:rPr>
          <w:rFonts w:ascii="Courier New" w:cs="Courier New" w:eastAsia="Courier New" w:hAnsi="Courier New"/>
          <w:color w:val="D4D4D4"/>
          <w:sz w:val="18"/>
          <w:szCs w:val="18"/>
        </w:rPr>
        <w:t xml:space="preserve"># Constants defined at top of process_data.py</w:t>
      </w:r>
    </w:p>
    <w:p>
      <w:pPr>
        <w:shd w:fill="1E1E1E" w:val="clear"/>
        <w:spacing w:before="0" w:after="0"/>
        <w:ind w:left="360" w:right="360"/>
      </w:pPr>
      <w:r>
        <w:rPr>
          <w:rFonts w:ascii="Courier New" w:cs="Courier New" w:eastAsia="Courier New" w:hAnsi="Courier New"/>
          <w:color w:val="D4D4D4"/>
          <w:sz w:val="18"/>
          <w:szCs w:val="18"/>
        </w:rPr>
        <w:t xml:space="preserve">IMD_WEIGHT    = 0.35</w:t>
      </w:r>
    </w:p>
    <w:p>
      <w:pPr>
        <w:shd w:fill="1E1E1E" w:val="clear"/>
        <w:spacing w:before="0" w:after="0"/>
        <w:ind w:left="360" w:right="360"/>
      </w:pPr>
      <w:r>
        <w:rPr>
          <w:rFonts w:ascii="Courier New" w:cs="Courier New" w:eastAsia="Courier New" w:hAnsi="Courier New"/>
          <w:color w:val="D4D4D4"/>
          <w:sz w:val="18"/>
          <w:szCs w:val="18"/>
        </w:rPr>
        <w:t xml:space="preserve">TCD_WEIGHT    = 0.25</w:t>
      </w:r>
    </w:p>
    <w:p>
      <w:pPr>
        <w:shd w:fill="1E1E1E" w:val="clear"/>
        <w:spacing w:before="0" w:after="0"/>
        <w:ind w:left="360" w:right="360"/>
      </w:pPr>
      <w:r>
        <w:rPr>
          <w:rFonts w:ascii="Courier New" w:cs="Courier New" w:eastAsia="Courier New" w:hAnsi="Courier New"/>
          <w:color w:val="D4D4D4"/>
          <w:sz w:val="18"/>
          <w:szCs w:val="18"/>
        </w:rPr>
        <w:t xml:space="preserve">POP_WEIGHT    = 0.30</w:t>
      </w:r>
    </w:p>
    <w:p>
      <w:pPr>
        <w:shd w:fill="1E1E1E" w:val="clear"/>
        <w:spacing w:before="0" w:after="0"/>
        <w:ind w:left="360" w:right="360"/>
      </w:pPr>
      <w:r>
        <w:rPr>
          <w:rFonts w:ascii="Courier New" w:cs="Courier New" w:eastAsia="Courier New" w:hAnsi="Courier New"/>
          <w:color w:val="D4D4D4"/>
          <w:sz w:val="18"/>
          <w:szCs w:val="18"/>
        </w:rPr>
        <w:t xml:space="preserve">ACCESS_WEIGHT = 0.10</w:t>
      </w:r>
    </w:p>
    <w:p>
      <w:pPr>
        <w:shd w:fill="1E1E1E" w:val="clear"/>
        <w:spacing w:before="0" w:after="0"/>
        <w:ind w:left="360" w:right="360"/>
      </w:pPr>
      <w:r>
        <w:rPr>
          <w:rFonts w:ascii="Courier New" w:cs="Courier New" w:eastAsia="Courier New" w:hAnsi="Courier New"/>
          <w:color w:val="D4D4D4"/>
          <w:sz w:val="18"/>
          <w:szCs w:val="18"/>
        </w:rPr>
        <w:t xml:space="preserve">assert IMD_WEIGHT + TCD_WEIGHT + POP_WEIGHT + ACCESS_WEIGHT == 1.0</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Shift Score = (IMD_WEIGHT    * imd_score)</w:t>
      </w:r>
    </w:p>
    <w:p>
      <w:pPr>
        <w:shd w:fill="1E1E1E" w:val="clear"/>
        <w:spacing w:before="0" w:after="0"/>
        <w:ind w:left="360" w:right="360"/>
      </w:pPr>
      <w:r>
        <w:rPr>
          <w:rFonts w:ascii="Courier New" w:cs="Courier New" w:eastAsia="Courier New" w:hAnsi="Courier New"/>
          <w:color w:val="D4D4D4"/>
          <w:sz w:val="18"/>
          <w:szCs w:val="18"/>
        </w:rPr>
        <w:t xml:space="preserve">            + (TCD_WEIGHT    * tcd_score)</w:t>
      </w:r>
    </w:p>
    <w:p>
      <w:pPr>
        <w:shd w:fill="1E1E1E" w:val="clear"/>
        <w:spacing w:before="0" w:after="0"/>
        <w:ind w:left="360" w:right="360"/>
      </w:pPr>
      <w:r>
        <w:rPr>
          <w:rFonts w:ascii="Courier New" w:cs="Courier New" w:eastAsia="Courier New" w:hAnsi="Courier New"/>
          <w:color w:val="D4D4D4"/>
          <w:sz w:val="18"/>
          <w:szCs w:val="18"/>
        </w:rPr>
        <w:t xml:space="preserve">            + (POP_WEIGHT    * pop_growth_score)</w:t>
      </w:r>
    </w:p>
    <w:p>
      <w:pPr>
        <w:shd w:fill="1E1E1E" w:val="clear"/>
        <w:spacing w:before="0" w:after="0"/>
        <w:ind w:left="360" w:right="360"/>
      </w:pPr>
      <w:r>
        <w:rPr>
          <w:rFonts w:ascii="Courier New" w:cs="Courier New" w:eastAsia="Courier New" w:hAnsi="Courier New"/>
          <w:color w:val="D4D4D4"/>
          <w:sz w:val="18"/>
          <w:szCs w:val="18"/>
        </w:rPr>
        <w:t xml:space="preserve">            + (ACCESS_WEIGHT * accessibility_score)</w:t>
      </w:r>
    </w:p>
    <w:p>
      <w:pPr>
        <w:shd w:fill="1E1E1E" w:val="clear"/>
        <w:spacing w:before="0" w:after="0"/>
        <w:ind w:left="360" w:right="360"/>
      </w:pPr>
      <w:r>
        <w:rPr>
          <w:rFonts w:ascii="Courier New" w:cs="Courier New" w:eastAsia="Courier New" w:hAnsi="Courier New"/>
          <w:color w:val="D4D4D4"/>
          <w:sz w:val="18"/>
          <w:szCs w:val="18"/>
        </w:rPr>
        <w:t xml:space="preserve"> </w:t>
      </w:r>
    </w:p>
    <w:p>
      <w:pPr>
        <w:shd w:fill="1E1E1E" w:val="clear"/>
        <w:spacing w:before="0" w:after="0"/>
        <w:ind w:left="360" w:right="360"/>
      </w:pPr>
      <w:r>
        <w:rPr>
          <w:rFonts w:ascii="Courier New" w:cs="Courier New" w:eastAsia="Courier New" w:hAnsi="Courier New"/>
          <w:color w:val="D4D4D4"/>
          <w:sz w:val="18"/>
          <w:szCs w:val="18"/>
        </w:rPr>
        <w:t xml:space="preserve"># Each component is independently normalised to [0, 100] before combining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gridSpan w:val="1"/>
            <w:tcBorders>
              <w:top w:val="single" w:color="CCCCCC" w:sz="1"/>
              <w:left w:val="single" w:color="CCCCCC" w:sz="1"/>
              <w:bottom w:val="single" w:color="CCCCCC" w:sz="1"/>
              <w:right w:val="single" w:color="CCCCCC" w:sz="1"/>
            </w:tcBorders>
            <w:shd w:fill="1B3F6E"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560"/>
            <w:gridSpan w:val="1"/>
            <w:tcBorders>
              <w:top w:val="single" w:color="CCCCCC" w:sz="1"/>
              <w:left w:val="single" w:color="CCCCCC" w:sz="1"/>
              <w:bottom w:val="single" w:color="CCCCCC" w:sz="1"/>
              <w:right w:val="single" w:color="CCCCCC" w:sz="1"/>
            </w:tcBorders>
            <w:shd w:fill="1B3F6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680"/>
            <w:gridSpan w:val="1"/>
            <w:tcBorders>
              <w:top w:val="single" w:color="CCCCCC" w:sz="1"/>
              <w:left w:val="single" w:color="CCCCCC" w:sz="1"/>
              <w:bottom w:val="single" w:color="CCCCCC" w:sz="1"/>
              <w:right w:val="single" w:color="CCCCCC" w:sz="1"/>
            </w:tcBorders>
            <w:shd w:fill="1B3F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Imperviousness Density (inverted)</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35%</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Physical capacity to build — core foundation of the score</w:t>
            </w:r>
          </w:p>
        </w:tc>
      </w:tr>
      <w:tr>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Tree Cover Density</w:t>
            </w:r>
          </w:p>
        </w:tc>
        <w:tc>
          <w:tcPr>
            <w:tcW w:type="dxa" w:w="15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25%</w:t>
            </w:r>
          </w:p>
        </w:tc>
        <w:tc>
          <w:tcPr>
            <w:tcW w:type="dxa" w:w="46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Residential desirability and environmental quality</w:t>
            </w:r>
          </w:p>
        </w:tc>
      </w:tr>
      <w:tr>
        <w:tc>
          <w:tcPr>
            <w:tcW w:type="dxa" w:w="31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Growth 2011–2021</w:t>
            </w:r>
          </w:p>
        </w:tc>
        <w:tc>
          <w:tcPr>
            <w:tcW w:type="dxa" w:w="1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30%</w:t>
            </w:r>
          </w:p>
        </w:tc>
        <w:tc>
          <w:tcPr>
            <w:tcW w:type="dxa" w:w="468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Demonstrated demand trend — highest weight after IMD</w:t>
            </w:r>
          </w:p>
        </w:tc>
      </w:tr>
      <w:tr>
        <w:tc>
          <w:tcPr>
            <w:tcW w:type="dxa" w:w="312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 Time to Rome (inverted)</w:t>
            </w:r>
          </w:p>
        </w:tc>
        <w:tc>
          <w:tcPr>
            <w:tcW w:type="dxa" w:w="156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bCs/>
                <w:color w:val="000000"/>
                <w:sz w:val="20"/>
                <w:szCs w:val="20"/>
              </w:rPr>
              <w:t xml:space="preserve">10%</w:t>
            </w:r>
          </w:p>
        </w:tc>
        <w:tc>
          <w:tcPr>
            <w:tcW w:type="dxa" w:w="468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Structural connectivity to the main employment centre</w:t>
            </w:r>
          </w:p>
        </w:tc>
      </w:tr>
    </w:tbl>
    <w:p>
      <w:pPr>
        <w:spacing w:before="120" w:after="0"/>
      </w:pPr>
    </w:p>
    <w:p>
      <w:pPr>
        <w:spacing w:before="80" w:after="80"/>
      </w:pPr>
      <w:r>
        <w:rPr>
          <w:rFonts w:ascii="Arial" w:cs="Arial" w:eastAsia="Arial" w:hAnsi="Arial"/>
          <w:color w:val="222222"/>
          <w:sz w:val="20"/>
          <w:szCs w:val="20"/>
        </w:rPr>
        <w:t xml:space="preserve">The weights are a starting proposal and can be adjusted after reviewing the output distribution. Roma Capitale will score low on IMD and may produce an edge case on accessibility (drive time near zero). We suggest flagging it as excluded from the opportunity ranking in the React interface while keeping it in the underlying dataset.</w:t>
      </w:r>
    </w:p>
    <w:p>
      <w:pPr>
        <w:pBdr>
          <w:bottom w:val="single" w:color="D5E3F0" w:sz="4" w:space="1"/>
        </w:pBdr>
        <w:spacing w:before="240" w:after="200"/>
      </w:pPr>
    </w:p>
    <w:p>
      <w:pPr>
        <w:pStyle w:val="Heading1"/>
        <w:spacing w:before="360" w:after="160"/>
      </w:pPr>
      <w:r>
        <w:rPr>
          <w:rFonts w:ascii="Arial" w:cs="Arial" w:eastAsia="Arial" w:hAnsi="Arial"/>
          <w:b/>
          <w:bCs/>
          <w:color w:val="1B3F6E"/>
          <w:sz w:val="32"/>
          <w:szCs w:val="32"/>
        </w:rPr>
        <w:t xml:space="preserve">5. Proposed Implementation Approach</w:t>
      </w:r>
    </w:p>
    <w:p>
      <w:pPr>
        <w:spacing w:before="80" w:after="80"/>
      </w:pPr>
      <w:r>
        <w:rPr>
          <w:rFonts w:ascii="Arial" w:cs="Arial" w:eastAsia="Arial" w:hAnsi="Arial"/>
          <w:color w:val="222222"/>
          <w:sz w:val="20"/>
          <w:szCs w:val="20"/>
        </w:rPr>
        <w:t xml:space="preserve">We suggest three sequential modules. Each is independently testable and produces a usable output before the next begins.</w:t>
      </w:r>
    </w:p>
    <w:p>
      <w:pPr>
        <w:spacing w:before="100" w:after="0"/>
      </w:pPr>
    </w:p>
    <w:p>
      <w:pPr>
        <w:pStyle w:val="Heading2"/>
        <w:spacing w:before="280" w:after="120"/>
      </w:pPr>
      <w:r>
        <w:rPr>
          <w:rFonts w:ascii="Arial" w:cs="Arial" w:eastAsia="Arial" w:hAnsi="Arial"/>
          <w:b/>
          <w:bCs/>
          <w:color w:val="2E6DA4"/>
          <w:sz w:val="26"/>
          <w:szCs w:val="26"/>
        </w:rPr>
        <w:t xml:space="preserve">Module A — Data Update (IMD 2021 + TCD 2021)</w:t>
      </w:r>
    </w:p>
    <w:p>
      <w:pPr>
        <w:pStyle w:val="ListParagraph"/>
        <w:numPr>
          <w:ilvl w:val="0"/>
          <w:numId w:val="3"/>
        </w:numPr>
        <w:spacing w:before="40" w:after="40"/>
      </w:pPr>
      <w:r>
        <w:rPr>
          <w:rFonts w:ascii="Arial" w:cs="Arial" w:eastAsia="Arial" w:hAnsi="Arial"/>
          <w:color w:val="222222"/>
          <w:sz w:val="20"/>
          <w:szCs w:val="20"/>
        </w:rPr>
        <w:t xml:space="preserve">Download IMD 2021 and TCD 2021 tile sets from WEkEO (same grid as the existing 2018 tiles).</w:t>
      </w:r>
    </w:p>
    <w:p>
      <w:pPr>
        <w:pStyle w:val="ListParagraph"/>
        <w:numPr>
          <w:ilvl w:val="0"/>
          <w:numId w:val="3"/>
        </w:numPr>
        <w:spacing w:before="40" w:after="40"/>
      </w:pPr>
      <w:r>
        <w:rPr>
          <w:rFonts w:ascii="Arial" w:cs="Arial" w:eastAsia="Arial" w:hAnsi="Arial"/>
          <w:color w:val="222222"/>
          <w:sz w:val="20"/>
          <w:szCs w:val="20"/>
        </w:rPr>
        <w:t xml:space="preserve">Add a TCD processing block to process_data.py following the same pattern as IMD: load tiles, merge, zonal_stats, extract tcd_mean per municipality.</w:t>
      </w:r>
    </w:p>
    <w:p>
      <w:pPr>
        <w:pStyle w:val="ListParagraph"/>
        <w:numPr>
          <w:ilvl w:val="0"/>
          <w:numId w:val="3"/>
        </w:numPr>
        <w:spacing w:before="40" w:after="40"/>
      </w:pPr>
      <w:r>
        <w:rPr>
          <w:rFonts w:ascii="Arial" w:cs="Arial" w:eastAsia="Arial" w:hAnsi="Arial"/>
          <w:color w:val="222222"/>
          <w:sz w:val="20"/>
          <w:szCs w:val="20"/>
        </w:rPr>
        <w:t xml:space="preserve">Add tcd_mean to both output files: municipalities.geojson and lazio_neighborhoods.json.</w:t>
      </w:r>
    </w:p>
    <w:p>
      <w:pPr>
        <w:pStyle w:val="ListParagraph"/>
        <w:numPr>
          <w:ilvl w:val="0"/>
          <w:numId w:val="3"/>
        </w:numPr>
        <w:spacing w:before="40" w:after="40"/>
      </w:pPr>
      <w:r>
        <w:rPr>
          <w:rFonts w:ascii="Arial" w:cs="Arial" w:eastAsia="Arial" w:hAnsi="Arial"/>
          <w:color w:val="222222"/>
          <w:sz w:val="20"/>
          <w:szCs w:val="20"/>
        </w:rPr>
        <w:t xml:space="preserve">Preserve the IMD 2018 tiles and old score variable in a separate path for use in the validation step later.</w:t>
      </w:r>
    </w:p>
    <w:p>
      <w:pPr>
        <w:spacing w:before="120" w:after="0"/>
      </w:pPr>
    </w:p>
    <w:p>
      <w:pPr>
        <w:pStyle w:val="Heading2"/>
        <w:spacing w:before="280" w:after="120"/>
      </w:pPr>
      <w:r>
        <w:rPr>
          <w:rFonts w:ascii="Arial" w:cs="Arial" w:eastAsia="Arial" w:hAnsi="Arial"/>
          <w:b/>
          <w:bCs/>
          <w:color w:val="2E6DA4"/>
          <w:sz w:val="26"/>
          <w:szCs w:val="26"/>
        </w:rPr>
        <w:t xml:space="preserve">Module B — Demographics and Accessibility</w:t>
      </w:r>
    </w:p>
    <w:p>
      <w:pPr>
        <w:pStyle w:val="ListParagraph"/>
        <w:numPr>
          <w:ilvl w:val="0"/>
          <w:numId w:val="3"/>
        </w:numPr>
        <w:spacing w:before="40" w:after="40"/>
      </w:pPr>
      <w:r>
        <w:rPr>
          <w:rFonts w:ascii="Arial" w:cs="Arial" w:eastAsia="Arial" w:hAnsi="Arial"/>
          <w:color w:val="222222"/>
          <w:sz w:val="20"/>
          <w:szCs w:val="20"/>
        </w:rPr>
        <w:t xml:space="preserve">Query the ISTAT SDMX API for population data 2011 and 2021; filter to Lazio comune codes (058xxx); compute pop_growth_pct per municipality.</w:t>
      </w:r>
    </w:p>
    <w:p>
      <w:pPr>
        <w:pStyle w:val="ListParagraph"/>
        <w:numPr>
          <w:ilvl w:val="0"/>
          <w:numId w:val="3"/>
        </w:numPr>
        <w:spacing w:before="40" w:after="40"/>
      </w:pPr>
      <w:r>
        <w:rPr>
          <w:rFonts w:ascii="Arial" w:cs="Arial" w:eastAsia="Arial" w:hAnsi="Arial"/>
          <w:color w:val="222222"/>
          <w:sz w:val="20"/>
          <w:szCs w:val="20"/>
        </w:rPr>
        <w:t xml:space="preserve">Join population growth to the GeoDataFrame on ISTAT comune code. Please confirm the id field format before this step (see Section 7).</w:t>
      </w:r>
    </w:p>
    <w:p>
      <w:pPr>
        <w:pStyle w:val="ListParagraph"/>
        <w:numPr>
          <w:ilvl w:val="0"/>
          <w:numId w:val="3"/>
        </w:numPr>
        <w:spacing w:before="40" w:after="40"/>
      </w:pPr>
      <w:r>
        <w:rPr>
          <w:rFonts w:ascii="Arial" w:cs="Arial" w:eastAsia="Arial" w:hAnsi="Arial"/>
          <w:color w:val="222222"/>
          <w:sz w:val="20"/>
          <w:szCs w:val="20"/>
        </w:rPr>
        <w:t xml:space="preserve">Compute driving times to Rome using OSRM for all 378 municipality centroids; save results to drive_times.csv.</w:t>
      </w:r>
    </w:p>
    <w:p>
      <w:pPr>
        <w:pStyle w:val="ListParagraph"/>
        <w:numPr>
          <w:ilvl w:val="0"/>
          <w:numId w:val="3"/>
        </w:numPr>
        <w:spacing w:before="40" w:after="40"/>
      </w:pPr>
      <w:r>
        <w:rPr>
          <w:rFonts w:ascii="Arial" w:cs="Arial" w:eastAsia="Arial" w:hAnsi="Arial"/>
          <w:color w:val="222222"/>
          <w:sz w:val="20"/>
          <w:szCs w:val="20"/>
        </w:rPr>
        <w:t xml:space="preserve">Add pop_growth_pct and drive_min to the output files alongside imd_mean and tcd_mean.</w:t>
      </w:r>
    </w:p>
    <w:p>
      <w:pPr>
        <w:spacing w:before="120" w:after="0"/>
      </w:pPr>
    </w:p>
    <w:p>
      <w:pPr>
        <w:pStyle w:val="Heading2"/>
        <w:spacing w:before="280" w:after="120"/>
      </w:pPr>
      <w:r>
        <w:rPr>
          <w:rFonts w:ascii="Arial" w:cs="Arial" w:eastAsia="Arial" w:hAnsi="Arial"/>
          <w:b/>
          <w:bCs/>
          <w:color w:val="2E6DA4"/>
          <w:sz w:val="26"/>
          <w:szCs w:val="26"/>
        </w:rPr>
        <w:t xml:space="preserve">Module C — Composite Score and UI Update</w:t>
      </w:r>
    </w:p>
    <w:p>
      <w:pPr>
        <w:pStyle w:val="ListParagraph"/>
        <w:numPr>
          <w:ilvl w:val="0"/>
          <w:numId w:val="3"/>
        </w:numPr>
        <w:spacing w:before="40" w:after="40"/>
      </w:pPr>
      <w:r>
        <w:rPr>
          <w:rFonts w:ascii="Arial" w:cs="Arial" w:eastAsia="Arial" w:hAnsi="Arial"/>
          <w:color w:val="222222"/>
          <w:sz w:val="20"/>
          <w:szCs w:val="20"/>
        </w:rPr>
        <w:t xml:space="preserve">Apply min-max normalisation to each of the four raw values independently across all 378 municipalities.</w:t>
      </w:r>
    </w:p>
    <w:p>
      <w:pPr>
        <w:pStyle w:val="ListParagraph"/>
        <w:numPr>
          <w:ilvl w:val="0"/>
          <w:numId w:val="3"/>
        </w:numPr>
        <w:spacing w:before="40" w:after="40"/>
      </w:pPr>
      <w:r>
        <w:rPr>
          <w:rFonts w:ascii="Arial" w:cs="Arial" w:eastAsia="Arial" w:hAnsi="Arial"/>
          <w:color w:val="222222"/>
          <w:sz w:val="20"/>
          <w:szCs w:val="20"/>
        </w:rPr>
        <w:t xml:space="preserve">Compute Shift Score v2 using the weighted formula; store weights as named constants with an assertion at the top of process_data.py.</w:t>
      </w:r>
    </w:p>
    <w:p>
      <w:pPr>
        <w:pStyle w:val="ListParagraph"/>
        <w:numPr>
          <w:ilvl w:val="0"/>
          <w:numId w:val="3"/>
        </w:numPr>
        <w:spacing w:before="40" w:after="40"/>
      </w:pPr>
      <w:r>
        <w:rPr>
          <w:rFonts w:ascii="Arial" w:cs="Arial" w:eastAsia="Arial" w:hAnsi="Arial"/>
          <w:color w:val="222222"/>
          <w:sz w:val="20"/>
          <w:szCs w:val="20"/>
        </w:rPr>
        <w:t xml:space="preserve">Update the indicators[] array in lazio_neighborhoods.json to include all four components with their normalised values and weights.</w:t>
      </w:r>
    </w:p>
    <w:p>
      <w:pPr>
        <w:pStyle w:val="ListParagraph"/>
        <w:numPr>
          <w:ilvl w:val="0"/>
          <w:numId w:val="3"/>
        </w:numPr>
        <w:spacing w:before="40" w:after="40"/>
      </w:pPr>
      <w:r>
        <w:rPr>
          <w:rFonts w:ascii="Arial" w:cs="Arial" w:eastAsia="Arial" w:hAnsi="Arial"/>
          <w:color w:val="222222"/>
          <w:sz w:val="20"/>
          <w:szCs w:val="20"/>
        </w:rPr>
        <w:t xml:space="preserve">Update MapView.jsx tooltip to display the two new indicators (population growth %, drive time in minutes).</w:t>
      </w:r>
    </w:p>
    <w:p>
      <w:pPr>
        <w:pStyle w:val="ListParagraph"/>
        <w:numPr>
          <w:ilvl w:val="0"/>
          <w:numId w:val="3"/>
        </w:numPr>
        <w:spacing w:before="40" w:after="40"/>
      </w:pPr>
      <w:r>
        <w:rPr>
          <w:rFonts w:ascii="Arial" w:cs="Arial" w:eastAsia="Arial" w:hAnsi="Arial"/>
          <w:color w:val="222222"/>
          <w:sz w:val="20"/>
          <w:szCs w:val="20"/>
        </w:rPr>
        <w:t xml:space="preserve">Update the Data Sources text in DetailPanel.jsx to reference IMD 2021, TCD 2021, ISTAT Censimento 2021, and OSRM.</w:t>
      </w:r>
    </w:p>
    <w:p>
      <w:pPr>
        <w:pBdr>
          <w:bottom w:val="single" w:color="D5E3F0" w:sz="4" w:space="1"/>
        </w:pBdr>
        <w:spacing w:before="240" w:after="200"/>
      </w:pPr>
    </w:p>
    <w:p>
      <w:pPr>
        <w:pStyle w:val="Heading1"/>
        <w:spacing w:before="360" w:after="160"/>
      </w:pPr>
      <w:r>
        <w:rPr>
          <w:rFonts w:ascii="Arial" w:cs="Arial" w:eastAsia="Arial" w:hAnsi="Arial"/>
          <w:b/>
          <w:bCs/>
          <w:color w:val="1B3F6E"/>
          <w:sz w:val="32"/>
          <w:szCs w:val="32"/>
        </w:rPr>
        <w:t xml:space="preserve">6. Data Sources Summary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638"/>
        <w:gridCol w:w="1638"/>
      </w:tblGrid>
      <w:tr>
        <w:tc>
          <w:tcPr>
            <w:tcW w:type="dxa" w:w="2340"/>
            <w:gridSpan w:val="1"/>
            <w:tcBorders>
              <w:top w:val="single" w:color="CCCCCC" w:sz="1"/>
              <w:left w:val="single" w:color="CCCCCC" w:sz="1"/>
              <w:bottom w:val="single" w:color="CCCCCC" w:sz="1"/>
              <w:right w:val="single" w:color="CCCCCC" w:sz="1"/>
            </w:tcBorders>
            <w:shd w:fill="1B3F6E"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872"/>
            <w:gridSpan w:val="1"/>
            <w:tcBorders>
              <w:top w:val="single" w:color="CCCCCC" w:sz="1"/>
              <w:left w:val="single" w:color="CCCCCC" w:sz="1"/>
              <w:bottom w:val="single" w:color="CCCCCC" w:sz="1"/>
              <w:right w:val="single" w:color="CCCCCC" w:sz="1"/>
            </w:tcBorders>
            <w:shd w:fill="1B3F6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872"/>
            <w:gridSpan w:val="1"/>
            <w:tcBorders>
              <w:top w:val="single" w:color="CCCCCC" w:sz="1"/>
              <w:left w:val="single" w:color="CCCCCC" w:sz="1"/>
              <w:bottom w:val="single" w:color="CCCCCC" w:sz="1"/>
              <w:right w:val="single" w:color="CCCCCC" w:sz="1"/>
            </w:tcBorders>
            <w:shd w:fill="1B3F6E"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1638"/>
            <w:gridSpan w:val="1"/>
            <w:tcBorders>
              <w:top w:val="single" w:color="CCCCCC" w:sz="1"/>
              <w:left w:val="single" w:color="CCCCCC" w:sz="1"/>
              <w:bottom w:val="single" w:color="CCCCCC" w:sz="1"/>
              <w:right w:val="single" w:color="CCCCCC" w:sz="1"/>
            </w:tcBorders>
            <w:shd w:fill="1B3F6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638"/>
            <w:gridSpan w:val="1"/>
            <w:tcBorders>
              <w:top w:val="single" w:color="CCCCCC" w:sz="1"/>
              <w:left w:val="single" w:color="CCCCCC" w:sz="1"/>
              <w:bottom w:val="single" w:color="CCCCCC" w:sz="1"/>
              <w:right w:val="single" w:color="CCCCCC" w:sz="1"/>
            </w:tcBorders>
            <w:shd w:fill="1B3F6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IMD 2021</w:t>
            </w:r>
          </w:p>
        </w:tc>
        <w:tc>
          <w:tcPr>
            <w:tcW w:type="dxa" w:w="187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Copernicus / WEkEO</w:t>
            </w:r>
          </w:p>
        </w:tc>
        <w:tc>
          <w:tcPr>
            <w:tcW w:type="dxa" w:w="187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registration</w:t>
            </w:r>
          </w:p>
        </w:tc>
        <w:tc>
          <w:tcPr>
            <w:tcW w:type="dxa" w:w="1638"/>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GeoTIFF</w:t>
            </w:r>
          </w:p>
        </w:tc>
        <w:tc>
          <w:tcPr>
            <w:tcW w:type="dxa" w:w="1638"/>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only</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TCD 2021</w:t>
            </w:r>
          </w:p>
        </w:tc>
        <w:tc>
          <w:tcPr>
            <w:tcW w:type="dxa" w:w="1872"/>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Copernicus / WEkEO</w:t>
            </w:r>
          </w:p>
        </w:tc>
        <w:tc>
          <w:tcPr>
            <w:tcW w:type="dxa" w:w="1872"/>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registration</w:t>
            </w:r>
          </w:p>
        </w:tc>
        <w:tc>
          <w:tcPr>
            <w:tcW w:type="dxa" w:w="1638"/>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GeoTIFF</w:t>
            </w:r>
          </w:p>
        </w:tc>
        <w:tc>
          <w:tcPr>
            <w:tcW w:type="dxa" w:w="1638"/>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same pattern</w:t>
            </w:r>
          </w:p>
        </w:tc>
      </w:tr>
      <w:tr>
        <w:tc>
          <w:tcPr>
            <w:tcW w:type="dxa" w:w="234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Population 2011–2021</w:t>
            </w:r>
          </w:p>
        </w:tc>
        <w:tc>
          <w:tcPr>
            <w:tcW w:type="dxa" w:w="187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ISTAT SDMX API</w:t>
            </w:r>
          </w:p>
        </w:tc>
        <w:tc>
          <w:tcPr>
            <w:tcW w:type="dxa" w:w="1872"/>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Free, no registration</w:t>
            </w:r>
          </w:p>
        </w:tc>
        <w:tc>
          <w:tcPr>
            <w:tcW w:type="dxa" w:w="1638"/>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 via HTTP</w:t>
            </w:r>
          </w:p>
        </w:tc>
        <w:tc>
          <w:tcPr>
            <w:tcW w:type="dxa" w:w="1638"/>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source</w:t>
            </w:r>
          </w:p>
        </w:tc>
      </w:tr>
      <w:tr>
        <w:tc>
          <w:tcPr>
            <w:tcW w:type="dxa" w:w="2340"/>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 time to Rome</w:t>
            </w:r>
          </w:p>
        </w:tc>
        <w:tc>
          <w:tcPr>
            <w:tcW w:type="dxa" w:w="1872"/>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OSRM public API</w:t>
            </w:r>
          </w:p>
        </w:tc>
        <w:tc>
          <w:tcPr>
            <w:tcW w:type="dxa" w:w="1872"/>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no API key</w:t>
            </w:r>
          </w:p>
        </w:tc>
        <w:tc>
          <w:tcPr>
            <w:tcW w:type="dxa" w:w="1638"/>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JSON via HTTP</w:t>
            </w:r>
          </w:p>
        </w:tc>
        <w:tc>
          <w:tcPr>
            <w:tcW w:type="dxa" w:w="1638"/>
            <w:gridSpan w:val="1"/>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cache to CSV</w:t>
            </w:r>
          </w:p>
        </w:tc>
      </w:tr>
    </w:tbl>
    <w:p>
      <w:pPr>
        <w:pBdr>
          <w:bottom w:val="single" w:color="D5E3F0" w:sz="4" w:space="1"/>
        </w:pBdr>
        <w:spacing w:before="240" w:after="200"/>
      </w:pPr>
    </w:p>
    <w:p>
      <w:pPr>
        <w:pStyle w:val="Heading1"/>
        <w:spacing w:before="360" w:after="160"/>
      </w:pPr>
      <w:r>
        <w:rPr>
          <w:rFonts w:ascii="Arial" w:cs="Arial" w:eastAsia="Arial" w:hAnsi="Arial"/>
          <w:b/>
          <w:bCs/>
          <w:color w:val="1B3F6E"/>
          <w:sz w:val="32"/>
          <w:szCs w:val="32"/>
        </w:rPr>
        <w:t xml:space="preserve">7. Open Questions for Your Review</w:t>
      </w:r>
    </w:p>
    <w:p>
      <w:pPr>
        <w:spacing w:before="80" w:after="80"/>
      </w:pPr>
      <w:r>
        <w:rPr>
          <w:rFonts w:ascii="Arial" w:cs="Arial" w:eastAsia="Arial" w:hAnsi="Arial"/>
          <w:color w:val="222222"/>
          <w:sz w:val="20"/>
          <w:szCs w:val="20"/>
        </w:rPr>
        <w:t xml:space="preserve">Before starting implementation, we would appreciate your input on the following points:</w:t>
      </w:r>
    </w:p>
    <w:p>
      <w:pPr>
        <w:spacing w:before="80" w:after="0"/>
      </w:pPr>
    </w:p>
    <w:p>
      <w:pPr>
        <w:pStyle w:val="ListParagraph"/>
        <w:numPr>
          <w:ilvl w:val="0"/>
          <w:numId w:val="2"/>
        </w:numPr>
        <w:spacing w:before="40" w:after="40"/>
      </w:pPr>
      <w:r>
        <w:rPr>
          <w:rFonts w:ascii="Arial" w:cs="Arial" w:eastAsia="Arial" w:hAnsi="Arial"/>
          <w:color w:val="222222"/>
          <w:sz w:val="20"/>
          <w:szCs w:val="20"/>
        </w:rPr>
        <w:t xml:space="preserve">id field format: does the id field in municipalities.geojson currently store the 6-digit ISTAT comune code (e.g. 058091)? This is the join key for the population data and needs to be confirmed before Module B.</w:t>
      </w:r>
    </w:p>
    <w:p>
      <w:pPr>
        <w:pStyle w:val="ListParagraph"/>
        <w:numPr>
          <w:ilvl w:val="0"/>
          <w:numId w:val="2"/>
        </w:numPr>
        <w:spacing w:before="40" w:after="40"/>
      </w:pPr>
      <w:r>
        <w:rPr>
          <w:rFonts w:ascii="Arial" w:cs="Arial" w:eastAsia="Arial" w:hAnsi="Arial"/>
          <w:color w:val="222222"/>
          <w:sz w:val="20"/>
          <w:szCs w:val="20"/>
        </w:rPr>
        <w:t xml:space="preserve">OSRM rate handling: do you prefer a simple time.sleep(0.1) between calls, or a more robust retry pattern with exponential backoff?</w:t>
      </w:r>
    </w:p>
    <w:p>
      <w:pPr>
        <w:pStyle w:val="ListParagraph"/>
        <w:numPr>
          <w:ilvl w:val="0"/>
          <w:numId w:val="2"/>
        </w:numPr>
        <w:spacing w:before="40" w:after="40"/>
      </w:pPr>
      <w:r>
        <w:rPr>
          <w:rFonts w:ascii="Arial" w:cs="Arial" w:eastAsia="Arial" w:hAnsi="Arial"/>
          <w:color w:val="222222"/>
          <w:sz w:val="20"/>
          <w:szCs w:val="20"/>
        </w:rPr>
        <w:t xml:space="preserve">Normalisation scope: min-max is computed across all 378 Lazio municipalities. If coverage later expands to other regions, the normalisation would need to be recomputed from scratch. Is this acceptable for now?</w:t>
      </w:r>
    </w:p>
    <w:p>
      <w:pPr>
        <w:pStyle w:val="ListParagraph"/>
        <w:numPr>
          <w:ilvl w:val="0"/>
          <w:numId w:val="2"/>
        </w:numPr>
        <w:spacing w:before="40" w:after="40"/>
      </w:pPr>
      <w:r>
        <w:rPr>
          <w:rFonts w:ascii="Arial" w:cs="Arial" w:eastAsia="Arial" w:hAnsi="Arial"/>
          <w:color w:val="222222"/>
          <w:sz w:val="20"/>
          <w:szCs w:val="20"/>
        </w:rPr>
        <w:t xml:space="preserve">Roma Capitale: we suggest flagging it as excluded from the opportunity ranking in the React UI. Do you agree, or should it appear in the ranking with its natural score?</w:t>
      </w:r>
    </w:p>
    <w:p>
      <w:pPr>
        <w:pStyle w:val="ListParagraph"/>
        <w:numPr>
          <w:ilvl w:val="0"/>
          <w:numId w:val="2"/>
        </w:numPr>
        <w:spacing w:before="40" w:after="40"/>
      </w:pPr>
      <w:r>
        <w:rPr>
          <w:rFonts w:ascii="Arial" w:cs="Arial" w:eastAsia="Arial" w:hAnsi="Arial"/>
          <w:color w:val="222222"/>
          <w:sz w:val="20"/>
          <w:szCs w:val="20"/>
        </w:rPr>
        <w:t xml:space="preserve">Weights: do the proposed values (35/25/30/10) seem reasonable as a starting point, or would you like to adjust before running the pipeline for the first time?</w:t>
      </w:r>
    </w:p>
    <w:p>
      <w:pPr>
        <w:spacing w:before="120" w:after="0"/>
      </w:pPr>
    </w:p>
    <w:p>
      <w:pPr>
        <w:pBdr>
          <w:left w:val="single" w:color="2E6DA4" w:sz="12" w:space="8"/>
        </w:pBdr>
        <w:shd w:fill="D5E3F0" w:val="clear"/>
        <w:spacing w:before="80" w:after="80"/>
        <w:ind w:left="200"/>
      </w:pPr>
      <w:r>
        <w:rPr>
          <w:rFonts w:ascii="Arial" w:cs="Arial" w:eastAsia="Arial" w:hAnsi="Arial"/>
          <w:color w:val="1B3F6E"/>
          <w:sz w:val="20"/>
          <w:szCs w:val="20"/>
        </w:rPr>
        <w:t xml:space="preserve">We are happy to discuss any of the above before work begins. The three-module structure is designed so that each piece is independently reviewable and testable. Please share any concerns or alternative approaches — especially around the ISTAT join key and the OSRM caching strategy.</w:t>
      </w:r>
    </w:p>
    <w:p>
      <w:pPr>
        <w:spacing w:before="240" w:after="0"/>
      </w:pP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3F0" w:sz="4" w:space="4"/>
      </w:pBdr>
      <w:tabs>
        <w:tab w:val="right" w:pos="9026"/>
      </w:tabs>
      <w:spacing w:before="120"/>
    </w:pPr>
    <w:r>
      <w:rPr>
        <w:rFonts w:ascii="Arial" w:cs="Arial" w:eastAsia="Arial" w:hAnsi="Arial"/>
        <w:color w:val="888888"/>
        <w:sz w:val="18"/>
        <w:szCs w:val="18"/>
      </w:rPr>
      <w:t xml:space="preserve">Urban Shift — Technical Brief</w:t>
    </w:r>
    <w:r>
      <w:rPr>
        <w:rFonts w:ascii="Arial" w:cs="Arial" w:eastAsia="Arial" w:hAnsi="Arial"/>
        <w:color w:val="888888"/>
        <w:sz w:val="18"/>
        <w:szCs w:val="18"/>
      </w:rPr>
      <w:t xml:space="preserve">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F6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2026-02-28T17:29:22.144Z</dcterms:created>
  <dcterms:modified xsi:type="dcterms:W3CDTF">2026-02-28T17:29:22.145Z</dcterms:modified>
</cp:coreProperties>
</file>

<file path=docProps/custom.xml><?xml version="1.0" encoding="utf-8"?>
<Properties xmlns="http://schemas.openxmlformats.org/officeDocument/2006/custom-properties" xmlns:vt="http://schemas.openxmlformats.org/officeDocument/2006/docPropsVTypes"/>
</file>