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Future Work: Hybrid Predictive Autoscaler for Kubernetes</w:t>
      </w:r>
    </w:p>
    <w:p>
      <w:r>
        <w:t>This document outlines eight directions for extending the Hybrid Predictive Autoscaler evaluated in the dissertation. Each direction is motivated by a specific finding or limitation from the experimental results.</w:t>
      </w:r>
    </w:p>
    <w:p/>
    <w:p>
      <w:pPr>
        <w:pStyle w:val="Heading2"/>
      </w:pPr>
      <w:r>
        <w:t>1. Multi-Service Deployment with Dependency-Aware Propagation</w:t>
      </w:r>
    </w:p>
    <w:p>
      <w:r>
        <w:t>Motivation: Only the frontend service was autoscaled in the Phase 5 evaluation. The nine remaining services stayed at one replica, creating a backend bottleneck that generated 9,501–28,082 errors per Hybrid trial and capped the measured latency improvement.</w:t>
      </w:r>
    </w:p>
    <w:p>
      <w:r>
        <w:t>Direction: Scale all ten Online Boutique services simultaneously. Critically, the controller must propagate forecast signals in topological order through the service dependency graph — if frontend is predicted to spike, checkout, payment and currency services should begin scaling 30–60 seconds before the frontend itself reaches capacity. A graph neural network approach (as in Graph-PHPA, Hu et al., 2022) could learn these propagation weights from historical call-graph telemetry.</w:t>
      </w:r>
    </w:p>
    <w:p>
      <w:r>
        <w:t>Expected gain: Elimination of the error-rate anomaly; the true system-level latency improvement is likely substantially larger than the 40–86% measured on frontend alone.</w:t>
      </w:r>
    </w:p>
    <w:p/>
    <w:p>
      <w:pPr>
        <w:pStyle w:val="Heading2"/>
      </w:pPr>
      <w:r>
        <w:t>2. Adaptive Confidence Margin (Fixes H2)</w:t>
      </w:r>
    </w:p>
    <w:p>
      <w:r>
        <w:t>Motivation: H2 was not confirmed — the Hybrid Controller uses 5–8× more replica-seconds than HPA across all workloads. The root cause is the fixed confidence-margin coefficient k = 1.5, which always over-provisions by 1.5 standard deviations above the point forecast regardless of actual forecast accuracy.</w:t>
      </w:r>
    </w:p>
    <w:p>
      <w:r>
        <w:t>Direction: Replace the static k with an adaptive policy. A Kalman filter on rolling forecast residuals would tighten k when recent prediction errors are small (accurate forecasts need less headroom) and widen it when errors are large. A reinforcement learning formulation — where the reward is a weighted combination of tail-latency SLA violations and replica-cost — would extend this further by learning workload-regime-specific policies from experience. The operator supplies a single cost-weight λ; the controller learns the optimal k.</w:t>
      </w:r>
    </w:p>
    <w:p>
      <w:r>
        <w:t>Expected gain: Significant reduction in replica-seconds overhead while preserving the H0 latency improvements; likely converts H2 from "not confirmed" to partially confirmed.</w:t>
      </w:r>
    </w:p>
    <w:p/>
    <w:p>
      <w:pPr>
        <w:pStyle w:val="Heading2"/>
      </w:pPr>
      <w:r>
        <w:t>3. Online Holt-Winters Parameter Updates</w:t>
      </w:r>
    </w:p>
    <w:p>
      <w:r>
        <w:t>Motivation: The current forecaster is trained once offline with fixed smoothing parameters α, β, γ. Real traffic drifts over time (day/night patterns, weekly cycles, event spikes), causing the model to go stale. As accuracy degrades, the forecast sigma widens, triggering more SCALE_LIMITED and FALLBACK states.</w:t>
      </w:r>
    </w:p>
    <w:p>
      <w:r>
        <w:t>Direction: Update α, β, γ online using exponential smoothing on a rolling window of recent prediction residuals. Holt-Winters is recursive by construction, making online updates computationally cheap. Because the model's prediction residuals directly drive the adaptive confidence margin (direction 2), keeping the forecaster current makes the entire control loop self-correcting without full retraining.</w:t>
      </w:r>
    </w:p>
    <w:p>
      <w:r>
        <w:t>Expected gain: Sustained forecast accuracy under traffic drift; fewer fallback engagements; tighter confidence margins and therefore lower replica-seconds cost.</w:t>
      </w:r>
    </w:p>
    <w:p/>
    <w:p>
      <w:pPr>
        <w:pStyle w:val="Heading2"/>
      </w:pPr>
      <w:r>
        <w:t>4. Multi-Metric Autoscaling</w:t>
      </w:r>
    </w:p>
    <w:p>
      <w:r>
        <w:t>Motivation: The controller currently scales on CPU utilisation only. For many microservices the binding constraint is not CPU but request queue depth, memory working set, or network ingress rate. A CPU-only controller will miss scaling opportunities for I/O-bound or cache-heavy services.</w:t>
      </w:r>
    </w:p>
    <w:p>
      <w:r>
        <w:t>Direction: Compute a replica recommendation per metric (CPU, memory, request queue depth, network ingress) and take the maximum — conservative but correct. SHAP attribution across multiple features would then reveal which signal drove each decision, providing operationally richer explanations than the current three-feature hw_components output.</w:t>
      </w:r>
    </w:p>
    <w:p>
      <w:r>
        <w:t>Expected gain: Broader applicability across service types; richer SHAP attributions directly strengthen the explainability contribution.</w:t>
      </w:r>
    </w:p>
    <w:p/>
    <w:p>
      <w:pPr>
        <w:pStyle w:val="Heading2"/>
      </w:pPr>
      <w:r>
        <w:t>5. LLM Narrator with Structured JSON Output (Fixes H4)</w:t>
      </w:r>
    </w:p>
    <w:p>
      <w:r>
        <w:t>Motivation: H4 was not confirmed — mean FActScore = 0.648 against a threshold of 0.80. The failure mode is numerical paraphrasing: the model rounds forecast values or infers causal relationships not in the evidence block.</w:t>
      </w:r>
    </w:p>
    <w:p>
      <w:r>
        <w:t>Direction: Replace free-text generation with a JSON schema output (OpenAI structured outputs / response_format enforcement). Define a schema with typed fields: decision_summary (string, no numbers), forecast_value (number, verbatim), top_attribution (feature name from SHAP), fallback_engaged (boolean), verification_steps (array of two strings). Render natural language from the schema post-hoc. This makes hallucination of numerical values structurally impossible.</w:t>
      </w:r>
    </w:p>
    <w:p>
      <w:r>
        <w:t>Expected gain: FActScore almost certainly exceeds 0.80; H4 would be confirmed with this architectural change.</w:t>
      </w:r>
    </w:p>
    <w:p/>
    <w:p>
      <w:pPr>
        <w:pStyle w:val="Heading2"/>
      </w:pPr>
      <w:r>
        <w:t>6. Hysteresis Rate Limiter and H3 Instrumentation</w:t>
      </w:r>
    </w:p>
    <w:p>
      <w:r>
        <w:t>Motivation: H3 (oscillation rate) could not be evaluated because scale-event counts were not captured in the results pipeline. Additionally, the current static ΔS rate-limit cap does not learn from historical oscillation patterns.</w:t>
      </w:r>
    </w:p>
    <w:p>
      <w:r>
        <w:t>Direction: Instrument the controller to emit a scale_event_count field directly into the results JSONL on every trial. Replace the static rate limiter with a hysteresis band — only issue a scaling decision if the recommended replica count differs from the current count by more than a service-specific threshold, derived from the empirical variance of the scaling signal.</w:t>
      </w:r>
    </w:p>
    <w:p>
      <w:r>
        <w:t>Expected gain: Closes the H3 measurement gap; reduces unnecessary scale churn on stable workloads.</w:t>
      </w:r>
    </w:p>
    <w:p/>
    <w:p>
      <w:pPr>
        <w:pStyle w:val="Heading2"/>
      </w:pPr>
      <w:r>
        <w:t>7. Reinforcement Learning End-to-End Controller</w:t>
      </w:r>
    </w:p>
    <w:p>
      <w:r>
        <w:t>Motivation: The current controller has several hand-tuned hyperparameters: k, ΔS, σ_max, r_min, r_max. Each requires operator knowledge and does not adapt to changing workload characteristics.</w:t>
      </w:r>
    </w:p>
    <w:p>
      <w:r>
        <w:t>Direction: Frame autoscaling as a Markov Decision Process where the state is the current metric window and forecast, the action is the replica count delta, and the reward is −(latency_penalty + λ × replica_cost). Train a policy using PPO or SAC in simulation (using the collected Phase 5 traces as a replay environment), then fine-tune on live traffic. The Holt-Winters forecast becomes one input feature rather than the sole decision driver.</w:t>
      </w:r>
    </w:p>
    <w:p>
      <w:r>
        <w:t>Expected gain: Autonomous adaptation to new workload regimes without manual retuning; potential to jointly optimise latency and cost in a way the current rule-based engine cannot.</w:t>
      </w:r>
    </w:p>
    <w:p/>
    <w:p>
      <w:pPr>
        <w:pStyle w:val="Heading2"/>
      </w:pPr>
      <w:r>
        <w:t>8. Evaluation on DeathStarBench and Production Fintech Workloads</w:t>
      </w:r>
    </w:p>
    <w:p>
      <w:r>
        <w:t>Motivation: All results are from a single-machine kind cluster running Online Boutique, a demo application with a shallow ten-service call graph. External validity is limited to this configuration.</w:t>
      </w:r>
    </w:p>
    <w:p>
      <w:r>
        <w:t>Direction: Direction (a): Evaluate on DeathStarBench Social Network (Gan et al., 2019), a twenty-eight-service benchmark with substantially deeper call graphs, to test whether the latency and resource-cost trade-offs generalise to more complex topologies. This was noted as a planned extension in Section 3.9 of the dissertation.</w:t>
        <w:br/>
        <w:t>Direction (b): Deploy on a multi-node production Kubernetes cluster with real fintech traffic (payment-ramp, end-of-day settlement spikes). The 30–60 second forecast horizon was calibrated to kind's pod-readiness time; production clusters may have different provisioning latencies that shift the optimal horizon.</w:t>
      </w:r>
    </w:p>
    <w:p>
      <w:r>
        <w:t>Expected gain: Strong external validity; evidence that the approach transfers beyond the benchmark setting.</w:t>
      </w:r>
    </w:p>
    <w:p/>
    <w:p>
      <w:pPr>
        <w:pStyle w:val="Heading1"/>
      </w:pPr>
      <w:r>
        <w:t>Summary</w:t>
      </w:r>
    </w:p>
    <w:p>
      <w:r>
        <w:t>The table below ranks the eight directions by expected impact and implementation effort.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Direction</w:t>
            </w:r>
          </w:p>
        </w:tc>
        <w:tc>
          <w:tcPr>
            <w:tcW w:type="dxa" w:w="2160"/>
          </w:tcPr>
          <w:p>
            <w:r>
              <w:rPr>
                <w:b/>
              </w:rPr>
              <w:t>Addresses</w:t>
            </w:r>
          </w:p>
        </w:tc>
        <w:tc>
          <w:tcPr>
            <w:tcW w:type="dxa" w:w="2160"/>
          </w:tcPr>
          <w:p>
            <w:r>
              <w:rPr>
                <w:b/>
              </w:rPr>
              <w:t>Effort</w:t>
            </w:r>
          </w:p>
        </w:tc>
        <w:tc>
          <w:tcPr>
            <w:tcW w:type="dxa" w:w="2160"/>
          </w:tcPr>
          <w:p>
            <w:r>
              <w:rPr>
                <w:b/>
              </w:rPr>
              <w:t>Expected Impact</w:t>
            </w:r>
          </w:p>
        </w:tc>
      </w:tr>
      <w:tr>
        <w:tc>
          <w:tcPr>
            <w:tcW w:type="dxa" w:w="2160"/>
          </w:tcPr>
          <w:p>
            <w:r>
              <w:t>1. Multi-service + DAG propagation</w:t>
            </w:r>
          </w:p>
        </w:tc>
        <w:tc>
          <w:tcPr>
            <w:tcW w:type="dxa" w:w="2160"/>
          </w:tcPr>
          <w:p>
            <w:r>
              <w:t>Error-rate anomaly; true H0 magnitude</w:t>
            </w:r>
          </w:p>
        </w:tc>
        <w:tc>
          <w:tcPr>
            <w:tcW w:type="dxa" w:w="2160"/>
          </w:tcPr>
          <w:p>
            <w:r>
              <w:t>High</w:t>
            </w:r>
          </w:p>
        </w:tc>
        <w:tc>
          <w:tcPr>
            <w:tcW w:type="dxa" w:w="2160"/>
          </w:tcPr>
          <w:p>
            <w:r>
              <w:t>Very high</w:t>
            </w:r>
          </w:p>
        </w:tc>
      </w:tr>
      <w:tr>
        <w:tc>
          <w:tcPr>
            <w:tcW w:type="dxa" w:w="2160"/>
          </w:tcPr>
          <w:p>
            <w:r>
              <w:t>2. Adaptive confidence margin (RL/Kalman)</w:t>
            </w:r>
          </w:p>
        </w:tc>
        <w:tc>
          <w:tcPr>
            <w:tcW w:type="dxa" w:w="2160"/>
          </w:tcPr>
          <w:p>
            <w:r>
              <w:t>H2 replica-seconds cost</w:t>
            </w:r>
          </w:p>
        </w:tc>
        <w:tc>
          <w:tcPr>
            <w:tcW w:type="dxa" w:w="2160"/>
          </w:tcPr>
          <w:p>
            <w:r>
              <w:t>Medium</w:t>
            </w:r>
          </w:p>
        </w:tc>
        <w:tc>
          <w:tcPr>
            <w:tcW w:type="dxa" w:w="2160"/>
          </w:tcPr>
          <w:p>
            <w:r>
              <w:t>High</w:t>
            </w:r>
          </w:p>
        </w:tc>
      </w:tr>
      <w:tr>
        <w:tc>
          <w:tcPr>
            <w:tcW w:type="dxa" w:w="2160"/>
          </w:tcPr>
          <w:p>
            <w:r>
              <w:t>3. Online Holt-Winters updates</w:t>
            </w:r>
          </w:p>
        </w:tc>
        <w:tc>
          <w:tcPr>
            <w:tcW w:type="dxa" w:w="2160"/>
          </w:tcPr>
          <w:p>
            <w:r>
              <w:t>Model staleness; fallback rate</w:t>
            </w:r>
          </w:p>
        </w:tc>
        <w:tc>
          <w:tcPr>
            <w:tcW w:type="dxa" w:w="2160"/>
          </w:tcPr>
          <w:p>
            <w:r>
              <w:t>Low</w:t>
            </w:r>
          </w:p>
        </w:tc>
        <w:tc>
          <w:tcPr>
            <w:tcW w:type="dxa" w:w="2160"/>
          </w:tcPr>
          <w:p>
            <w:r>
              <w:t>Medium</w:t>
            </w:r>
          </w:p>
        </w:tc>
      </w:tr>
      <w:tr>
        <w:tc>
          <w:tcPr>
            <w:tcW w:type="dxa" w:w="2160"/>
          </w:tcPr>
          <w:p>
            <w:r>
              <w:t>4. Multi-metric autoscaling</w:t>
            </w:r>
          </w:p>
        </w:tc>
        <w:tc>
          <w:tcPr>
            <w:tcW w:type="dxa" w:w="2160"/>
          </w:tcPr>
          <w:p>
            <w:r>
              <w:t>Applicability; SHAP richness</w:t>
            </w:r>
          </w:p>
        </w:tc>
        <w:tc>
          <w:tcPr>
            <w:tcW w:type="dxa" w:w="2160"/>
          </w:tcPr>
          <w:p>
            <w:r>
              <w:t>Medium</w:t>
            </w:r>
          </w:p>
        </w:tc>
        <w:tc>
          <w:tcPr>
            <w:tcW w:type="dxa" w:w="2160"/>
          </w:tcPr>
          <w:p>
            <w:r>
              <w:t>Medium</w:t>
            </w:r>
          </w:p>
        </w:tc>
      </w:tr>
      <w:tr>
        <w:tc>
          <w:tcPr>
            <w:tcW w:type="dxa" w:w="2160"/>
          </w:tcPr>
          <w:p>
            <w:r>
              <w:t>5. Structured JSON narrator output</w:t>
            </w:r>
          </w:p>
        </w:tc>
        <w:tc>
          <w:tcPr>
            <w:tcW w:type="dxa" w:w="2160"/>
          </w:tcPr>
          <w:p>
            <w:r>
              <w:t>H4 FActScore &lt; 0.80</w:t>
            </w:r>
          </w:p>
        </w:tc>
        <w:tc>
          <w:tcPr>
            <w:tcW w:type="dxa" w:w="2160"/>
          </w:tcPr>
          <w:p>
            <w:r>
              <w:t>Low</w:t>
            </w:r>
          </w:p>
        </w:tc>
        <w:tc>
          <w:tcPr>
            <w:tcW w:type="dxa" w:w="2160"/>
          </w:tcPr>
          <w:p>
            <w:r>
              <w:t>High</w:t>
            </w:r>
          </w:p>
        </w:tc>
      </w:tr>
      <w:tr>
        <w:tc>
          <w:tcPr>
            <w:tcW w:type="dxa" w:w="2160"/>
          </w:tcPr>
          <w:p>
            <w:r>
              <w:t>6. Hysteresis limiter + H3 logging</w:t>
            </w:r>
          </w:p>
        </w:tc>
        <w:tc>
          <w:tcPr>
            <w:tcW w:type="dxa" w:w="2160"/>
          </w:tcPr>
          <w:p>
            <w:r>
              <w:t>H3 measurement gap; scale churn</w:t>
            </w:r>
          </w:p>
        </w:tc>
        <w:tc>
          <w:tcPr>
            <w:tcW w:type="dxa" w:w="2160"/>
          </w:tcPr>
          <w:p>
            <w:r>
              <w:t>Low</w:t>
            </w:r>
          </w:p>
        </w:tc>
        <w:tc>
          <w:tcPr>
            <w:tcW w:type="dxa" w:w="2160"/>
          </w:tcPr>
          <w:p>
            <w:r>
              <w:t>Low–Medium</w:t>
            </w:r>
          </w:p>
        </w:tc>
      </w:tr>
      <w:tr>
        <w:tc>
          <w:tcPr>
            <w:tcW w:type="dxa" w:w="2160"/>
          </w:tcPr>
          <w:p>
            <w:r>
              <w:t>7. RL end-to-end controller</w:t>
            </w:r>
          </w:p>
        </w:tc>
        <w:tc>
          <w:tcPr>
            <w:tcW w:type="dxa" w:w="2160"/>
          </w:tcPr>
          <w:p>
            <w:r>
              <w:t>All hyperparameter tuning</w:t>
            </w:r>
          </w:p>
        </w:tc>
        <w:tc>
          <w:tcPr>
            <w:tcW w:type="dxa" w:w="2160"/>
          </w:tcPr>
          <w:p>
            <w:r>
              <w:t>High</w:t>
            </w:r>
          </w:p>
        </w:tc>
        <w:tc>
          <w:tcPr>
            <w:tcW w:type="dxa" w:w="2160"/>
          </w:tcPr>
          <w:p>
            <w:r>
              <w:t>High (long-term)</w:t>
            </w:r>
          </w:p>
        </w:tc>
      </w:tr>
      <w:tr>
        <w:tc>
          <w:tcPr>
            <w:tcW w:type="dxa" w:w="2160"/>
          </w:tcPr>
          <w:p>
            <w:r>
              <w:t>8. DeathStarBench + production traces</w:t>
            </w:r>
          </w:p>
        </w:tc>
        <w:tc>
          <w:tcPr>
            <w:tcW w:type="dxa" w:w="2160"/>
          </w:tcPr>
          <w:p>
            <w:r>
              <w:t>External validity</w:t>
            </w:r>
          </w:p>
        </w:tc>
        <w:tc>
          <w:tcPr>
            <w:tcW w:type="dxa" w:w="2160"/>
          </w:tcPr>
          <w:p>
            <w:r>
              <w:t>High</w:t>
            </w:r>
          </w:p>
        </w:tc>
        <w:tc>
          <w:tcPr>
            <w:tcW w:type="dxa" w:w="2160"/>
          </w:tcPr>
          <w:p>
            <w:r>
              <w:t>Evidence quality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