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24" w:lineRule="auto"/>
        <w:jc w:val="center"/>
      </w:pPr>
      <w:r>
        <w:rPr>
          <w:rFonts w:ascii="Times New Roman" w:hAnsi="Times New Roman" w:eastAsia="黑体"/>
          <w:b/>
          <w:color w:val="3B5BFD"/>
          <w:sz w:val="44"/>
        </w:rPr>
        <w:t>智问校园 CampusMind</w:t>
      </w:r>
    </w:p>
    <w:p>
      <w:pPr>
        <w:spacing w:after="200" w:line="324" w:lineRule="auto"/>
        <w:jc w:val="center"/>
      </w:pPr>
      <w:r>
        <w:rPr>
          <w:rFonts w:ascii="Times New Roman" w:hAnsi="Times New Roman" w:eastAsia="黑体"/>
          <w:b/>
          <w:sz w:val="52"/>
        </w:rPr>
        <w:t>经济适用型与运营方案</w:t>
      </w:r>
    </w:p>
    <w:p>
      <w:pPr>
        <w:spacing w:after="280" w:line="324" w:lineRule="auto"/>
        <w:jc w:val="center"/>
      </w:pPr>
      <w:r>
        <w:rPr>
          <w:rFonts w:ascii="Times New Roman" w:hAnsi="Times New Roman" w:eastAsia="宋体"/>
          <w:b w:val="0"/>
          <w:color w:val="6A7390"/>
          <w:sz w:val="26"/>
        </w:rPr>
        <w:t>—— 系统怎么卖、真实成本多少、怎么扛并发 ——</w:t>
      </w:r>
    </w:p>
    <w:p>
      <w:pPr>
        <w:spacing w:after="320" w:line="324" w:lineRule="auto"/>
        <w:jc w:val="center"/>
      </w:pPr>
      <w:r>
        <w:rPr>
          <w:rFonts w:ascii="Times New Roman" w:hAnsi="Times New Roman" w:eastAsia="宋体"/>
          <w:b w:val="0"/>
          <w:color w:val="6A7390"/>
          <w:sz w:val="22"/>
        </w:rPr>
        <w:t>《软件体系结构》课程项目补充交付物 · 2026 年 10 月 · 王若璋 · 何俐 · 郭祚梁</w:t>
      </w:r>
    </w:p>
    <w:p>
      <w:pPr>
        <w:spacing w:after="240" w:line="324" w:lineRule="auto"/>
      </w:pPr>
      <w:r>
        <w:rPr>
          <w:rFonts w:ascii="Times New Roman" w:hAnsi="Times New Roman" w:eastAsia="黑体"/>
          <w:b/>
          <w:color w:val="E05A00"/>
          <w:sz w:val="22"/>
        </w:rPr>
        <w:t>口径声明(诚实原则)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本方案所有数字分三类,均如实标注:① 实测数字来自本项目可复现脚本(scripts/bench.py、eval_matrix.py,2026-09-18 运行);② 外部价格为 2026 年 10 月查询的公开市场价/新用户活动价,存在波动与续费涨价风险,以官方页面为准;③ 商业定价(SaaS 订阅价、买断价)为商业假设示例,不是承诺。三者不混用、不夸大。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color w:val="3B5BFD"/>
          <w:sz w:val="32"/>
        </w:rPr>
        <w:t>1  摘要:为什么「经济适用」是架构决策的自然结果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本系统的全部架构决策(生成端插件化、本地抽取式兜底、内存索引热更新、模块化单体)共同导向一个经济结论:默认链路 0 GPU、0 强制 API 费用,一台入门级云服务器即可承载一所高校的日常问答量。这使得系统可以以极低的边际成本售卖和运营——免费版几乎零成本获客,付费版在服务器租金量级的成本上构建毛利。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24"/>
        </w:rPr>
        <w:t>三个关键事实支撑上述判断: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 w:val="true"/>
          <w:cantSplit/>
        </w:trPr>
        <w:tc>
          <w:tcPr>
            <w:tcW w:type="dxa" w:w="3515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事实</w:t>
            </w:r>
          </w:p>
        </w:tc>
        <w:tc>
          <w:tcPr>
            <w:tcW w:type="dxa" w:w="3175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数值</w:t>
            </w:r>
          </w:p>
        </w:tc>
        <w:tc>
          <w:tcPr>
            <w:tcW w:type="dxa" w:w="2381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单实例全链路吞吐(E2E,含流式生成)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44.1 QPS · p99 611ms · 0 失败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scripts/bench.py 实测</w:t>
            </w:r>
          </w:p>
        </w:tc>
      </w:tr>
      <w:tr>
        <w:trPr>
          <w:cantSplit/>
        </w:trPr>
        <w:tc>
          <w:tcPr>
            <w:tcW w:type="dxa" w:w="3515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默认生成模型</w:t>
            </w:r>
          </w:p>
        </w:tc>
        <w:tc>
          <w:tcPr>
            <w:tcW w:type="dxa" w:w="3175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GLM-4-Flash(128K),限时免费</w:t>
            </w:r>
          </w:p>
        </w:tc>
        <w:tc>
          <w:tcPr>
            <w:tcW w:type="dxa" w:w="238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智谱开放平台,2026-10 查证</w:t>
            </w:r>
          </w:p>
        </w:tc>
      </w:tr>
      <w:tr>
        <w:trPr>
          <w:cantSplit/>
        </w:trPr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本地兜底生成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内置抽取式生成器,离线 0 成本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代码实现,验收 A1 通过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宋体"/>
          <w:b w:val="0"/>
          <w:color w:val="6A7390"/>
          <w:sz w:val="20"/>
        </w:rPr>
        <w:t>说明:E2E 指从 HTTP 请求进入至流式回答完成的完整链路;44.1 QPS 为local-extractive 提供者、并发 20、200 样本的实测口径。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color w:val="3B5BFD"/>
          <w:sz w:val="32"/>
        </w:rPr>
        <w:t>2  售卖模式:三档产品矩阵</w:t>
      </w:r>
    </w:p>
    <w:p>
      <w:pPr>
        <w:spacing w:after="16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按「数据敏感度 × 运维能力」划分客群,提供三档产品形态: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 w:val="true"/>
          <w:cantSplit/>
        </w:trPr>
        <w:tc>
          <w:tcPr>
            <w:tcW w:type="dxa" w:w="1814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模式</w:t>
            </w:r>
          </w:p>
        </w:tc>
        <w:tc>
          <w:tcPr>
            <w:tcW w:type="dxa" w:w="2041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定价(假设示例)</w:t>
            </w:r>
          </w:p>
        </w:tc>
        <w:tc>
          <w:tcPr>
            <w:tcW w:type="dxa" w:w="3175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目标客群与场景</w:t>
            </w:r>
          </w:p>
        </w:tc>
        <w:tc>
          <w:tcPr>
            <w:tcW w:type="dxa" w:w="2041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我方成本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SaaS 订阅(推荐起步)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¥4,999 /校/年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中小院校/高职:零运维,我方托管,含升级维保,先试用后签约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 台轻量服务器+免费模型档,≈¥15–35/月</w:t>
            </w:r>
          </w:p>
        </w:tc>
      </w:tr>
      <w:tr>
        <w:trPr>
          <w:cantSplit/>
        </w:trPr>
        <w:tc>
          <w:tcPr>
            <w:tcW w:type="dxa" w:w="1814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私有化部署买断</w:t>
            </w:r>
          </w:p>
        </w:tc>
        <w:tc>
          <w:tcPr>
            <w:tcW w:type="dxa" w:w="204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¥29,999 买断 + 15%/年维保</w:t>
            </w:r>
          </w:p>
        </w:tc>
        <w:tc>
          <w:tcPr>
            <w:tcW w:type="dxa" w:w="3175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数据不出校的高校:部署进校园内网,复用校内已有虚拟机</w:t>
            </w:r>
          </w:p>
        </w:tc>
        <w:tc>
          <w:tcPr>
            <w:tcW w:type="dxa" w:w="204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一次性实施(人力),运行成本由校方承担,边际≈0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免费社区版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¥0</w:t>
            </w:r>
          </w:p>
        </w:tc>
        <w:tc>
          <w:tcPr>
            <w:tcW w:type="dxa" w:w="31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获客入口:本项目形态直接可用,本地抽取式生成零 API 成本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近零(用户自部署)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2.1 销售路径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高校信息化采购以年度预算与项目制为主,路径设计为:① 免费社区版在院系/社团级试点,积累真实问答数据与口碑;② 试用期结束后以 SaaS 订阅进入校级预算(定价低于一次人工咨询外包的月度成本);③ 对数据合规要求高的学校升级为私有化买断。三档形态共享同一代码基座,仅为部署方式与合同形态差异——这直接降低了多形态维护成本。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2.2 定价依据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SaaS 年费 ¥4,999 对应我方直接成本约 ¥180–420/年(服务器 ¥165–379/年+ 域名证书 ≈¥60/年),免费模型档下毛利率约 90%;即使大模型恢复收费(见 §4 敏感性测算,日均 5,000 问 ≈¥195/月),毛利率仍约 44%,定价有安全垫。私有化买断价对标同类校园知识库项目人天实施费(约 15–25 人天)。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color w:val="3B5BFD"/>
          <w:sz w:val="32"/>
        </w:rPr>
        <w:t>3  部署方案与月度成本核算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rPr>
          <w:tblHeader w:val="true"/>
          <w:cantSplit/>
        </w:trPr>
        <w:tc>
          <w:tcPr>
            <w:tcW w:type="dxa" w:w="1701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方案</w:t>
            </w:r>
          </w:p>
        </w:tc>
        <w:tc>
          <w:tcPr>
            <w:tcW w:type="dxa" w:w="1247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适用场景</w:t>
            </w:r>
          </w:p>
        </w:tc>
        <w:tc>
          <w:tcPr>
            <w:tcW w:type="dxa" w:w="2494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服务器</w:t>
            </w:r>
          </w:p>
        </w:tc>
        <w:tc>
          <w:tcPr>
            <w:tcW w:type="dxa" w:w="2154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大模型</w:t>
            </w:r>
          </w:p>
        </w:tc>
        <w:tc>
          <w:tcPr>
            <w:tcW w:type="dxa" w:w="1474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月成本估算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A 云端 SaaS(我方托管)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绝大多数学校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轻量 2C4G:阿里云 ¥379/年或腾讯云 ¥165–220/年(新用户活动价) ≈ ¥14–32/月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GLM-4-Flash 限时免费;embedding-3 仅索引重建时调用 ≈¥0.01/次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≈ ¥15–35/月</w:t>
            </w:r>
          </w:p>
        </w:tc>
      </w:tr>
      <w:tr>
        <w:trPr>
          <w:cantSplit/>
        </w:trPr>
        <w:tc>
          <w:tcPr>
            <w:tcW w:type="dxa" w:w="170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B 私有化 CPU(校内虚机)</w:t>
            </w:r>
          </w:p>
        </w:tc>
        <w:tc>
          <w:tcPr>
            <w:tcW w:type="dxa" w:w="1247"/>
            <w:shd w:fill="F7F8F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数据不出校</w:t>
            </w:r>
          </w:p>
        </w:tc>
        <w:tc>
          <w:tcPr>
            <w:tcW w:type="dxa" w:w="2494"/>
            <w:shd w:fill="F7F8F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复用校内已有虚拟机(2C4G 即可),边际成本 ¥0</w:t>
            </w:r>
          </w:p>
        </w:tc>
        <w:tc>
          <w:tcPr>
            <w:tcW w:type="dxa" w:w="2154"/>
            <w:shd w:fill="F7F8F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校方自备 API Key,或使用本地抽取式(¥0)</w:t>
            </w:r>
          </w:p>
        </w:tc>
        <w:tc>
          <w:tcPr>
            <w:tcW w:type="dxa" w:w="1474"/>
            <w:shd w:fill="F7F8FC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边际 ≈ ¥0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C 全离线 GPU(内网隔离)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数据最敏感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RTX 4090 租用包月 ¥1,000–1,500;或买断二手 4090 ≈¥15,000(电费另计 ≈¥190/月)</w:t>
            </w:r>
          </w:p>
        </w:tc>
        <w:tc>
          <w:tcPr>
            <w:tcW w:type="dxa" w:w="215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本地量化模型(GLM/Qwen 7B AWQ · vLLM/Ollama)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 w:eastAsia="宋体"/>
                <w:b w:val="0"/>
                <w:sz w:val="19"/>
              </w:rPr>
              <w:t>≈ ¥1,000–1,500/月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宋体"/>
          <w:b w:val="0"/>
          <w:color w:val="6A7390"/>
          <w:sz w:val="20"/>
        </w:rPr>
        <w:t>价格时点 2026-10:轻量服务器为新用户活动价,续费价更高;GPU 价格来自算力租赁平台公开报价区间。方案 C 仅在要求数据完全不出内网时选择,对本项目目标场景(公开校务知识问答)通常不必要。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3.1 部署形态(Docker 单机起步)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生产最小形态为「1 台服务器 + Docker Compose + Nginx」:应用容器(uvicorn --workers 4)+ Nginx 反代(TLS 终止、静态直出、SSE 直通)。无需向量数据库、无需消息队列、无需 GPU——检索索引常驻内存,SQLite 单文件存储,备份即复制文件。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color w:val="3B5BFD"/>
          <w:sz w:val="32"/>
        </w:rPr>
        <w:t>4  大模型调用成本:Token 构成与敏感性测算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4.1 每问 Token 构成(按实现代码估算)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 w:val="true"/>
          <w:cantSplit/>
        </w:trPr>
        <w:tc>
          <w:tcPr>
            <w:tcW w:type="dxa" w:w="1701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构成</w:t>
            </w:r>
          </w:p>
        </w:tc>
        <w:tc>
          <w:tcPr>
            <w:tcW w:type="dxa" w:w="4422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  <w:tc>
          <w:tcPr>
            <w:tcW w:type="dxa" w:w="1814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估算量级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系统提示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角色设定+引用约束,约 60 字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≈60 token</w:t>
            </w:r>
          </w:p>
        </w:tc>
      </w:tr>
      <w:tr>
        <w:trPr>
          <w:cantSplit/>
        </w:trPr>
        <w:tc>
          <w:tcPr>
            <w:tcW w:type="dxa" w:w="170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检索上下文</w:t>
            </w:r>
          </w:p>
        </w:tc>
        <w:tc>
          <w:tcPr>
            <w:tcW w:type="dxa" w:w="4422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Top-3 知识条目(FINAL_TOP_K=3),每条约 150–400 字</w:t>
            </w:r>
          </w:p>
        </w:tc>
        <w:tc>
          <w:tcPr>
            <w:tcW w:type="dxa" w:w="1814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≈900 token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用户问题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口语化提问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≈20 token</w:t>
            </w:r>
          </w:p>
        </w:tc>
      </w:tr>
      <w:tr>
        <w:trPr>
          <w:cantSplit/>
        </w:trPr>
        <w:tc>
          <w:tcPr>
            <w:tcW w:type="dxa" w:w="170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模型输出</w:t>
            </w:r>
          </w:p>
        </w:tc>
        <w:tc>
          <w:tcPr>
            <w:tcW w:type="dxa" w:w="4422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分点回答+来源标注</w:t>
            </w:r>
          </w:p>
        </w:tc>
        <w:tc>
          <w:tcPr>
            <w:tcW w:type="dxa" w:w="1814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≈300 token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42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输入 ≈1,000 + 输出 ≈300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≈1,300 token/问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宋体"/>
          <w:b w:val="0"/>
          <w:color w:val="6A7390"/>
          <w:sz w:val="20"/>
        </w:rPr>
        <w:t>估算口径:中文按 1 字≈1 token 保守计;实际取决于分词器,量级不变。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4.2 生成端成本敏感性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tblHeader w:val="true"/>
          <w:cantSplit/>
        </w:trPr>
        <w:tc>
          <w:tcPr>
            <w:tcW w:type="dxa" w:w="2835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情形</w:t>
            </w:r>
          </w:p>
        </w:tc>
        <w:tc>
          <w:tcPr>
            <w:tcW w:type="dxa" w:w="1928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单价假设</w:t>
            </w:r>
          </w:p>
        </w:tc>
        <w:tc>
          <w:tcPr>
            <w:tcW w:type="dxa" w:w="1814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每问成本</w:t>
            </w:r>
          </w:p>
        </w:tc>
        <w:tc>
          <w:tcPr>
            <w:tcW w:type="dxa" w:w="2494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日均 5,000 问月成本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GLM-4-Flash 限时免费(现行)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¥0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¥0</w:t>
            </w:r>
          </w:p>
        </w:tc>
      </w:tr>
      <w:tr>
        <w:trPr>
          <w:cantSplit/>
        </w:trPr>
        <w:tc>
          <w:tcPr>
            <w:tcW w:type="dxa" w:w="2835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轻度收费假设</w:t>
            </w:r>
          </w:p>
        </w:tc>
        <w:tc>
          <w:tcPr>
            <w:tcW w:type="dxa" w:w="1928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¥1 / 百万 token</w:t>
            </w:r>
          </w:p>
        </w:tc>
        <w:tc>
          <w:tcPr>
            <w:tcW w:type="dxa" w:w="1814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≈¥0.0013</w:t>
            </w:r>
          </w:p>
        </w:tc>
        <w:tc>
          <w:tcPr>
            <w:tcW w:type="dxa" w:w="2494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≈¥195/月</w:t>
            </w:r>
          </w:p>
        </w:tc>
      </w:tr>
      <w:tr>
        <w:trPr>
          <w:cantSplit/>
        </w:trPr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重度收费假设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¥5 / 百万 token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≈¥0.0065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≈¥975/月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即使重度收费假设下,SaaS 定价仍有毛利(§2.2);且系统可随时切回本地抽取式生成(验收 A1 的降级路径),成本上限可控——这是「双模生成架构」在商业上的直接价值:API 价格波动不构成经营风险。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4.3 Embedding 成本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embedding-3 约 0.5 元/百万 token 档。当前 62 条知识全量重建 ≈2 万 token ≈¥0.01,仅在知识库变更时发生;扩展到 5,000 条知识(≈160 万 token)单次重建也仅 ≈¥0.8。相对服务器租金可忽略。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4.4 若坚持本地部署大模型(方案 C 补充)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4090(24GB)可流畅运行 7B–14B 量化模型(vLLM,AWQ/GPTQ),满足校园问答质量需求。租用包月 ¥1,000–1,500;若买断二手 4090(≈¥15,000),按电费 450W×24h×30 天×¥0.6/度 ≈¥190/月,约 12–15 个月收回买断成本(相对租用)。注意 2026 年市场仍存在高端卡供应紧张(「抢卡」)现象,采购周期需预留。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color w:val="3B5BFD"/>
          <w:sz w:val="32"/>
        </w:rPr>
        <w:t>5  高并发:实测容量与扩展规划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5.1 容量外推(基于实测)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容量估算口径:日问量集中在约 8 小时活跃时段,峰值按均值×10 保守估计。单实例 44.1 QPS 为下限基准(未开多 worker)。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rPr>
          <w:tblHeader w:val="true"/>
          <w:cantSplit/>
        </w:trPr>
        <w:tc>
          <w:tcPr>
            <w:tcW w:type="dxa" w:w="1814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场景</w:t>
            </w:r>
          </w:p>
        </w:tc>
        <w:tc>
          <w:tcPr>
            <w:tcW w:type="dxa" w:w="1361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日问量</w:t>
            </w:r>
          </w:p>
        </w:tc>
        <w:tc>
          <w:tcPr>
            <w:tcW w:type="dxa" w:w="1701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峰值 RPS(估)</w:t>
            </w:r>
          </w:p>
        </w:tc>
        <w:tc>
          <w:tcPr>
            <w:tcW w:type="dxa" w:w="2608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所需配置</w:t>
            </w:r>
          </w:p>
        </w:tc>
        <w:tc>
          <w:tcPr>
            <w:tcW w:type="dxa" w:w="1701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月服务器成本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单校 1 万人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5,000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&lt;3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1× 2C4G 单实例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≈¥32</w:t>
            </w:r>
          </w:p>
        </w:tc>
      </w:tr>
      <w:tr>
        <w:trPr>
          <w:cantSplit/>
        </w:trPr>
        <w:tc>
          <w:tcPr>
            <w:tcW w:type="dxa" w:w="1814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 校 SaaS</w:t>
            </w:r>
          </w:p>
        </w:tc>
        <w:tc>
          <w:tcPr>
            <w:tcW w:type="dxa" w:w="136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50,000</w:t>
            </w:r>
          </w:p>
        </w:tc>
        <w:tc>
          <w:tcPr>
            <w:tcW w:type="dxa" w:w="170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≈20–30</w:t>
            </w:r>
          </w:p>
        </w:tc>
        <w:tc>
          <w:tcPr>
            <w:tcW w:type="dxa" w:w="2608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1× 4C8G(workers 4)或 2× 2C4G</w:t>
            </w:r>
          </w:p>
        </w:tc>
        <w:tc>
          <w:tcPr>
            <w:tcW w:type="dxa" w:w="170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≈¥65–100</w:t>
            </w:r>
          </w:p>
        </w:tc>
      </w:tr>
      <w:tr>
        <w:trPr>
          <w:cantSplit/>
        </w:trPr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50 校 SaaS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250,000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≈90–150</w:t>
            </w:r>
          </w:p>
        </w:tc>
        <w:tc>
          <w:tcPr>
            <w:tcW w:type="dxa" w:w="260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4× 4C8G + Nginx 负载均衡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≈¥390</w:t>
            </w:r>
          </w:p>
        </w:tc>
      </w:tr>
      <w:tr>
        <w:trPr>
          <w:cantSplit/>
        </w:trPr>
        <w:tc>
          <w:tcPr>
            <w:tcW w:type="dxa" w:w="1814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远期千级 QPS</w:t>
            </w:r>
          </w:p>
        </w:tc>
        <w:tc>
          <w:tcPr>
            <w:tcW w:type="dxa" w:w="136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70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1,000</w:t>
            </w:r>
          </w:p>
        </w:tc>
        <w:tc>
          <w:tcPr>
            <w:tcW w:type="dxa" w:w="2608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≈25 实例 + Nginx</w:t>
            </w:r>
          </w:p>
        </w:tc>
        <w:tc>
          <w:tcPr>
            <w:tcW w:type="dxa" w:w="170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≈¥800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结论:校园场景的并发压力远低于单实例容量(余量 10 倍以上),「高并发」对本系统是线性加机器问题而非架构难题;容量与成本线性挂钩,无雪崩点。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5.2 扩展三级路径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① 进程内:uvicorn --workers 4,同机吞吐约 2–3 倍(CPU 核数限制);② 主机间:Nginx 反向代理多实例负载均衡,应用层无状态设计(会话不落本机),加机器即扩容;③ 组件级:限流计数与会话外置 Redis(与部署演进页的四项替换一致:SQLite→PG、内存索引→Milvus、本地→GLM、代理→Redis)。每一级都是独立的、可单独决策的演进步骤。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color w:val="3B5BFD"/>
          <w:sz w:val="32"/>
        </w:rPr>
        <w:t>6  反向代理与生产部署拓扑(Nginx)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生产拓扑:客户端 → Nginx(443,TLS 终止)→ 应用实例×N(uvicorn :8000)。Nginx 承担四项职责:TLS 终止、静态资源直出、SSE 流式直通、入口级限流。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6.1 关键配置(SSE 直通是重中之重)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>upstream campusmind {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least_conn;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server 127.0.0.1:8000;      # uvicorn app.main:app --workers 4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# server 10.0.0.12:8000;    # 扩容时追加实例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>}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>limit_req_zone $binary_remote_addr zone=qa:10m rate=10r/s;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>server {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listen 443 ssl;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server_name qa.example.edu.cn;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ssl_certificate     /etc/letsencrypt/live/qa/fullchain.pem;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ssl_certificate_key /etc/letsencrypt/live/qa/privkey.pem;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location /api/ {                     # SSE 流式问答接口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    limit_req zone=qa burst=20 nodelay;   # 入口级限流(第一层)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    proxy_pass http://campusmind;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    proxy_buffering off;             # 关键:SSE 直通,禁用响应缓冲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    proxy_cache off;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    proxy_http_version 1.1;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    proxy_set_header Connection "";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    proxy_read_timeout 60s;          # 防长回答被默认超时掐断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    proxy_set_header X-Real-IP $remote_addr;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    add_header X-Accel-Buffering no; # 双保险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}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location /static/ { root /var/www/campusmind; expires 7d; }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 xml:space="preserve">    location /  { proxy_pass http://campusmind; }</w:t>
      </w:r>
    </w:p>
    <w:p>
      <w:pPr>
        <w:spacing w:after="0" w:line="276" w:lineRule="auto"/>
        <w:ind w:left="360"/>
      </w:pPr>
      <w:r>
        <w:rPr>
          <w:rFonts w:ascii="Consolas" w:hAnsi="Consolas" w:eastAsia="宋体"/>
          <w:color w:val="1C2333"/>
          <w:sz w:val="19"/>
        </w:rPr>
        <w:t>}</w:t>
      </w:r>
    </w:p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6.2 双层限流说明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Nginx limit_req(IP 级,10 r/s+突发 20)负责挡掉恶意脚本与突发扫描;应用内令牌桶(5 QPS/用户,突发 10,验收 A2 实测)负责业务级公平性。两层职责不同:前者保护整机,后者保护单用户体验。生产多实例时应用层限流计数外置 Redis,避免各实例独立计数导致限流阈值被 N 倍放大。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color w:val="3B5BFD"/>
          <w:sz w:val="32"/>
        </w:rPr>
        <w:t>7  运营成本模型:SaaS 单校月度损益示例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tblHeader w:val="true"/>
          <w:cantSplit/>
        </w:trPr>
        <w:tc>
          <w:tcPr>
            <w:tcW w:type="dxa" w:w="3742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2381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免费模型档(现行)</w:t>
            </w:r>
          </w:p>
        </w:tc>
        <w:tc>
          <w:tcPr>
            <w:tcW w:type="dxa" w:w="2381"/>
            <w:shd w:fill="E9EDF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收费假设档(¥1/百万 token)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收入(¥4,999/年 ÷ 12)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¥417/月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¥417/月</w:t>
            </w:r>
          </w:p>
        </w:tc>
      </w:tr>
      <w:tr>
        <w:trPr>
          <w:cantSplit/>
        </w:trPr>
        <w:tc>
          <w:tcPr>
            <w:tcW w:type="dxa" w:w="3742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服务器(2C4G 活动价)</w:t>
            </w:r>
          </w:p>
        </w:tc>
        <w:tc>
          <w:tcPr>
            <w:tcW w:type="dxa" w:w="238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¥32/月</w:t>
            </w:r>
          </w:p>
        </w:tc>
        <w:tc>
          <w:tcPr>
            <w:tcW w:type="dxa" w:w="238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¥32/月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域名 + TLS(Let's Encrypt 免费,域名 ≈¥60/年)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¥5/月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¥5/月</w:t>
            </w:r>
          </w:p>
        </w:tc>
      </w:tr>
      <w:tr>
        <w:trPr>
          <w:cantSplit/>
        </w:trPr>
        <w:tc>
          <w:tcPr>
            <w:tcW w:type="dxa" w:w="3742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对象存储备份(≈10GB)</w:t>
            </w:r>
          </w:p>
        </w:tc>
        <w:tc>
          <w:tcPr>
            <w:tcW w:type="dxa" w:w="238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¥3/月</w:t>
            </w:r>
          </w:p>
        </w:tc>
        <w:tc>
          <w:tcPr>
            <w:tcW w:type="dxa" w:w="238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¥3/月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大模型 API(日均 5,000 问)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¥0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¥195/月</w:t>
            </w:r>
          </w:p>
        </w:tc>
      </w:tr>
      <w:tr>
        <w:trPr>
          <w:cantSplit/>
        </w:trPr>
        <w:tc>
          <w:tcPr>
            <w:tcW w:type="dxa" w:w="3742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直接成本小计</w:t>
            </w:r>
          </w:p>
        </w:tc>
        <w:tc>
          <w:tcPr>
            <w:tcW w:type="dxa" w:w="238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≈¥40/月</w:t>
            </w:r>
          </w:p>
        </w:tc>
        <w:tc>
          <w:tcPr>
            <w:tcW w:type="dxa" w:w="2381"/>
            <w:shd w:fill="F7F8FC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≈¥235/月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直接毛利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≈¥377/月(90%)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≈¥182/月(44%)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宋体"/>
          <w:b w:val="0"/>
          <w:color w:val="6A7390"/>
          <w:sz w:val="20"/>
        </w:rPr>
        <w:t>诚实标注:本表仅含直接资源成本,不含人力(实施、维保响应、知识库代运营)与获客成本;3 人团队按兼职运营假设。10 校规模下人力成本被摊薄,模型才真正成立。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color w:val="3B5BFD"/>
          <w:sz w:val="32"/>
        </w:rPr>
        <w:t>8  风险与局限(如实)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① 免费政策风险:GLM-4-Flash「限时免费」可能终止,已给出收费假设下的敏感性测算与本地降级路径;② 活动价风险:服务器与 GPU 价格引用的是2026-10 新用户活动价/市场区间,续费与量产价更高,采购前以官方页面为准;③ 并发数字口径:44.1 QPS 为 local-extractive 提供者的实测,云端 GLM 模式下吞吐受 API 时延影响,首字延迟取决于网络;④ token 估算为代码静态估算,非线上埋点实测;⑤ 商业定价为课堂假设,未经真实市场验证;⑥ 方案 C 的 GPU 市场存在供应波动,成本与交付周期需预留余量。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color w:val="3B5BFD"/>
          <w:sz w:val="32"/>
        </w:rPr>
        <w:t>9  价格来源(2026-10 查证)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1"/>
        </w:rPr>
        <w:t>· 智谱开放平台定价页:GLM-4-Flash(128K)限时免费;embedding-3 约 0.5 元/百万 token 档。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1"/>
        </w:rPr>
        <w:t>· 阿里云/腾讯云轻量应用服务器活动价页:2C4G ¥165–379/年;4C8G ¥1,159/年(新用户专享)。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1"/>
        </w:rPr>
        <w:t>· 算力租赁平台公开报价(AutoDL 等):RTX 4090 时租 ¥1.65–1.98,包月 ¥1,000–1,500;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 二手 4090 市场价 ≈¥15,000(2026 年中)。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1"/>
        </w:rPr>
        <w:t>· 电费按居民/校园电价 ¥0.6/度估算。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1"/>
        </w:rPr>
        <w:t>· 性能与验收数字:本项目 scripts/bench.py、scripts/acceptance.py 实测存档</w:t>
      </w:r>
    </w:p>
    <w:p>
      <w:pPr>
        <w:spacing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  (artifacts/final_validation.txt),可复现。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