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pBdr>
                <w:top w:val="single" w:color="3B5BFD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/>
                <w:color w:val="3B5BFD"/>
                <w:spacing w:val="40"/>
                <w:sz w:val="18"/>
                <w:szCs w:val="18"/>
              </w:rPr>
              <w:t xml:space="preserve">S  O  F  T  W  A  R  E     D  E  S  I  G  N     A  N  D     A  R  C  H  I  T  E  C  T  U  R  E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C2333"/>
                <w:sz w:val="80"/>
                <w:szCs w:val="80"/>
              </w:rPr>
              <w:t xml:space="preserve">智问校园 Campus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C2333"/>
                <w:sz w:val="80"/>
                <w:szCs w:val="80"/>
              </w:rPr>
              <w:t xml:space="preserve">Mind 设计与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C2333"/>
                <w:sz w:val="80"/>
                <w:szCs w:val="80"/>
              </w:rPr>
              <w:t xml:space="preserve">架构文档</w:t>
            </w:r>
          </w:p>
          <w:p>
            <w:pPr>
              <w:spacing w:after="400"/>
              <w:jc w:val="center"/>
            </w:pPr>
            <w:r>
              <w:rPr>
                <w:rFonts w:ascii="Arial" w:eastAsia="Microsoft YaHei"/>
                <w:color w:val="5A6478"/>
                <w:sz w:val="24"/>
                <w:szCs w:val="24"/>
              </w:rPr>
              <w:t xml:space="preserve">软件设计说明书(SDD)+ 软件架构文档(SAD)合并 · v1.0</w:t>
            </w:r>
          </w:p>
          <w:p>
            <w:pPr>
              <w:spacing w:before="1200"/>
            </w:pP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《软件体系结构》课程项目 · 2026 春季学期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团队：王若璋 · 何俪 · 郭祖梁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2026 年 10 月</w:t>
            </w:r>
          </w:p>
          <w:p>
            <w:pPr>
              <w:spacing w:before="2000"/>
            </w:pPr>
          </w:p>
          <w:p>
            <w:pPr>
              <w:pBdr>
                <w:bottom w:val="single" w:color="3B5BFD" w:sz="18" w:space="20"/>
              </w:pBdr>
              <w:spacing w:before="200"/>
              <w:ind w:left="1000" w:right="1000"/>
              <w:jc w:val="center"/>
            </w:pPr>
            <w:r>
              <w:rPr>
                <w:rFonts w:ascii="Arial"/>
                <w:color w:val="A0A0A0"/>
                <w:sz w:val="18"/>
                <w:szCs w:val="18"/>
              </w:rPr>
              <w:t xml:space="preserve">CampusMind · github.com/yelikour/campus-qa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1C2333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  引言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1.1  编写目的与文档关系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1.2  范围与读者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  架构总览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  架构风格与总体形态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  分层职责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  技术选型与约束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  架构描述:4+1 视图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  逻辑视图(功能分解)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  进程视图(并发与同步)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  开发视图(代码组织)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3.4  物理视图(部署拓扑)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3.5  场景视图(端到端用例走查)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  详细设计:RAG 检索引擎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  双通道检索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  RRF 融合与质量控制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4.3  重排序(实验开关)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4.4  参数标定(评测驱动)</w:t>
          </w:r>
          <w:r>
            <w:tab/>
          </w:r>
          <w:r>
            <w:t>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  数据库设计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5.1  存储划分与 ER 关系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5.2  表结构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5.3  演进设计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6  接口设计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  问答接口(SSE)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  知识与运维接口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7  前端设计(SPA)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8  部署与运维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8.1  配置项(环境变量)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8.2  扩展三级与反向代理要点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9  架构决策记录(ADR)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ADR-1 模块化单体起步,预留服务化边界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ADR-2 混合检索 + RRF 融合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ADR-3 SSE 承载流式输出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ADR-4 生成 Provider 插件化 + 熔断降级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ADR-5 内存索引热重建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ADR-6 令牌桶入口限流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ADR-7 Embedding Provider 可插拔,TF-IDF 为离线 fallback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10  质量证据与需求追踪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10.1  检索评测(n=62 口语化改写,统一文档级去重口径)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10.2  性能基准与架构验收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10.3  追踪矩阵</w:t>
          </w:r>
          <w:r>
            <w:tab/>
          </w:r>
          <w:r>
            <w:t>15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注：本目录由域代码生成，如编辑后页码变动，请右键目录选择「更新域」刷新。</w:t>
      </w:r>
    </w:p>
    <w:p>
      <w:pPr>
        <w:pStyle w:val="Heading1"/>
        <w:spacing w:after="140" w:before="360"/>
      </w:pPr>
      <w:bookmarkStart w:name="_Toc1" w:id="1"/>
      <w:r>
        <w:rPr>
          <w:rFonts w:ascii="Calibri" w:eastAsia="SimHei"/>
          <w:b/>
          <w:bCs/>
          <w:color w:val="1C2333"/>
          <w:sz w:val="32"/>
          <w:szCs w:val="32"/>
        </w:rPr>
        <w:t xml:space="preserve">1  引言</w:t>
      </w:r>
      <w:bookmarkEnd w:id="1"/>
    </w:p>
    <w:p>
      <w:pPr>
        <w:pStyle w:val="Heading2"/>
        <w:spacing w:after="110" w:before="260"/>
      </w:pPr>
      <w:bookmarkStart w:name="_Toc2" w:id="2"/>
      <w:r>
        <w:rPr>
          <w:rFonts w:ascii="Calibri" w:eastAsia="SimHei"/>
          <w:b/>
          <w:bCs/>
          <w:color w:val="1C2333"/>
          <w:sz w:val="28"/>
          <w:szCs w:val="28"/>
        </w:rPr>
        <w:t xml:space="preserve">1.1  编写目的与文档关系</w:t>
      </w:r>
      <w:bookmarkEnd w:id="2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本文档是《软件需求规格说明书(SRS)》的设计侧承接,合并软件设计文档(SDD,模块/数据/接口的详细设计)与软件架构文档(SAD,多视图架构描述与决策记录)为一册:第 2-3 章为架构描述(SAD),第 4-7 章为详细设计(SDD),第 8-10 章为部署、决策与质量证据。需求编号 FR-x / NFR-x 与 SRS 一致,追踪矩阵见第 10 章。</w:t>
      </w:r>
    </w:p>
    <w:p>
      <w:pPr>
        <w:pStyle w:val="Heading2"/>
        <w:spacing w:after="110" w:before="260"/>
      </w:pPr>
      <w:bookmarkStart w:name="_Toc3" w:id="3"/>
      <w:r>
        <w:rPr>
          <w:rFonts w:ascii="Calibri" w:eastAsia="SimHei"/>
          <w:b/>
          <w:bCs/>
          <w:color w:val="1C2333"/>
          <w:sz w:val="28"/>
          <w:szCs w:val="28"/>
        </w:rPr>
        <w:t xml:space="preserve">1.2  范围与读者</w:t>
      </w:r>
      <w:bookmarkEnd w:id="3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覆盖后端(app/api、services、repository、core 四分包)、前端原生 SPA 与评测工具链的全部设计决策;预期读者为课程指导教师、项目组成员与后续维护者。文档中全部指标为 2026-10-16 复测实测值,复现方法见 docs/REPRODUCIBILITY.md。</w:t>
      </w:r>
    </w:p>
    <w:p>
      <w:pPr>
        <w:pStyle w:val="Heading1"/>
        <w:spacing w:after="140" w:before="360"/>
      </w:pPr>
      <w:bookmarkStart w:name="_Toc4" w:id="4"/>
      <w:r>
        <w:rPr>
          <w:rFonts w:ascii="Calibri" w:eastAsia="SimHei"/>
          <w:b/>
          <w:bCs/>
          <w:color w:val="1C2333"/>
          <w:sz w:val="32"/>
          <w:szCs w:val="32"/>
        </w:rPr>
        <w:t xml:space="preserve">2  架构总览</w:t>
      </w:r>
      <w:bookmarkEnd w:id="4"/>
    </w:p>
    <w:p>
      <w:pPr>
        <w:pStyle w:val="Heading2"/>
        <w:spacing w:after="110" w:before="260"/>
      </w:pPr>
      <w:bookmarkStart w:name="_Toc5" w:id="5"/>
      <w:r>
        <w:rPr>
          <w:rFonts w:ascii="Calibri" w:eastAsia="SimHei"/>
          <w:b/>
          <w:bCs/>
          <w:color w:val="1C2333"/>
          <w:sz w:val="28"/>
          <w:szCs w:val="28"/>
        </w:rPr>
        <w:t xml:space="preserve">2.1  架构风格与总体形态</w:t>
      </w:r>
      <w:bookmarkEnd w:id="5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系统采用分层风格的模块化单体:五层单向依赖、进程内调用,以分包边界预留服务化拆分点(ADR-1)。演示形态为单进程零外部依赖;生产形态通过反向代理与多实例水平扩展(第 8 章),无需修改应用代码。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eastAsia="Microsoft YaHei"/>
          <w:color w:val="5A6478"/>
          <w:sz w:val="18"/>
          <w:szCs w:val="18"/>
        </w:rPr>
        <w:t xml:space="preserve">图 2-1  五层分层架构(接入 → 网关边界 → 应用服务 → RAG 引擎 → 数据)</w:t>
      </w:r>
    </w:p>
    <w:p>
      <w:pPr>
        <w:pStyle w:val="Heading2"/>
        <w:spacing w:after="110" w:before="260"/>
      </w:pPr>
      <w:bookmarkStart w:name="_Toc6" w:id="6"/>
      <w:r>
        <w:rPr>
          <w:rFonts w:ascii="Calibri" w:eastAsia="SimHei"/>
          <w:b/>
          <w:bCs/>
          <w:color w:val="1C2333"/>
          <w:sz w:val="28"/>
          <w:szCs w:val="28"/>
        </w:rPr>
        <w:t xml:space="preserve">2.2  分层职责</w:t>
      </w:r>
      <w:bookmarkEnd w:id="6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表 2-1  分层职责与技术选型</w:t>
      </w:r>
    </w:p>
    <w:tbl>
      <w:tblPr>
        <w:tblW w:type="pct" w:w="5000"/>
        <w:tblBorders>
          <w:top w:val="single" w:color="3B5BFD" w:sz="4"/>
          <w:left w:val="none" w:color="FFFFFF" w:sz="0"/>
          <w:bottom w:val="single" w:color="3B5BFD" w:sz="4"/>
          <w:right w:val="none" w:color="FFFFFF" w:sz="0"/>
          <w:insideH w:val="single" w:color="D8DEF5" w:sz="1"/>
          <w:insideV w:val="none" w:color="FFFFFF" w:sz="0"/>
        </w:tblBorders>
        <w:tblLayout w:type="fixed"/>
      </w:tblPr>
      <w:tblGrid>
        <w:gridCol w:w="1500"/>
        <w:gridCol w:w="2200"/>
        <w:gridCol w:w="5645"/>
      </w:tblGrid>
      <w:tr>
        <w:trPr>
          <w:cantSplit/>
          <w:tblHeader/>
        </w:trPr>
        <w:tc>
          <w:tcPr>
            <w:tcW w:type="dxa" w:w="15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层次</w:t>
            </w:r>
          </w:p>
        </w:tc>
        <w:tc>
          <w:tcPr>
            <w:tcW w:type="dxa" w:w="22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  <w:tc>
          <w:tcPr>
            <w:tcW w:type="dxa" w:w="5645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主要构件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接入层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用户交互与流式渲染</w:t>
            </w:r>
          </w:p>
        </w:tc>
        <w:tc>
          <w:tcPr>
            <w:tcW w:type="dxa" w:w="56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原生 SPA 三视图(问答/知识库/看板),SSE 解析,输出全量转义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网关边界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限流、鉴权、跨域</w:t>
            </w:r>
          </w:p>
        </w:tc>
        <w:tc>
          <w:tcPr>
            <w:tcW w:type="dxa" w:w="56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令牌桶(5 QPS/突发 10,桶字典有界)、ADMIN_TOKEN 写鉴权、会话属主校验(F10)、CORS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应用服务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用例编排</w:t>
            </w:r>
          </w:p>
        </w:tc>
        <w:tc>
          <w:tcPr>
            <w:tcW w:type="dxa" w:w="56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chat(SSE 问答)、knowledge(增删查+热更新)、conversations、admin(统计)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RAG 引擎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检索与生成</w:t>
            </w:r>
          </w:p>
        </w:tc>
        <w:tc>
          <w:tcPr>
            <w:tcW w:type="dxa" w:w="56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BM25Index(倒排)、VectorIndex(TF-IDF/embedding-3)、fuse_rrf、Reranker 开关、GeneratorProvider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数据层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持久化与语料</w:t>
            </w:r>
          </w:p>
        </w:tc>
        <w:tc>
          <w:tcPr>
            <w:tcW w:type="dxa" w:w="56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SQLite(WAL,会话/消息/查询日志)、campus_qa.json 知识语料、内存索引(热重建)</w:t>
            </w:r>
          </w:p>
        </w:tc>
      </w:tr>
    </w:tbl>
    <w:p>
      <w:pPr>
        <w:pStyle w:val="Heading2"/>
        <w:spacing w:after="110" w:before="260"/>
      </w:pPr>
      <w:bookmarkStart w:name="_Toc7" w:id="7"/>
      <w:r>
        <w:rPr>
          <w:rFonts w:ascii="Calibri" w:eastAsia="SimHei"/>
          <w:b/>
          <w:bCs/>
          <w:color w:val="1C2333"/>
          <w:sz w:val="28"/>
          <w:szCs w:val="28"/>
        </w:rPr>
        <w:t xml:space="preserve">2.3  技术选型与约束</w:t>
      </w:r>
      <w:bookmarkEnd w:id="7"/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后端 Python 3.10+ / FastAPI / uvicorn;分词 jieba;HTTP 客户端 httpx;测试 pytest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约束 C-1 零依赖演示:C-2 Provider 可插拔(ADR-4/ADR-7);C-4 如实原则(引擎信息可见)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选型理由:FastAPI 原生 async 承载 SSE 流;自实现 BM25/RRF 保证算法可解释、可评测、零模型依赖</w:t>
      </w:r>
    </w:p>
    <w:p>
      <w:pPr>
        <w:pStyle w:val="Heading1"/>
        <w:spacing w:after="140" w:before="360"/>
      </w:pPr>
      <w:bookmarkStart w:name="_Toc8" w:id="8"/>
      <w:r>
        <w:rPr>
          <w:rFonts w:ascii="Calibri" w:eastAsia="SimHei"/>
          <w:b/>
          <w:bCs/>
          <w:color w:val="1C2333"/>
          <w:sz w:val="32"/>
          <w:szCs w:val="32"/>
        </w:rPr>
        <w:t xml:space="preserve">3  架构描述:4+1 视图</w:t>
      </w:r>
      <w:bookmarkEnd w:id="8"/>
    </w:p>
    <w:p>
      <w:pPr>
        <w:pStyle w:val="Heading2"/>
        <w:spacing w:after="110" w:before="260"/>
      </w:pPr>
      <w:bookmarkStart w:name="_Toc9" w:id="9"/>
      <w:r>
        <w:rPr>
          <w:rFonts w:ascii="Calibri" w:eastAsia="SimHei"/>
          <w:b/>
          <w:bCs/>
          <w:color w:val="1C2333"/>
          <w:sz w:val="28"/>
          <w:szCs w:val="28"/>
        </w:rPr>
        <w:t xml:space="preserve">3.1  逻辑视图(功能分解)</w:t>
      </w:r>
      <w:bookmarkEnd w:id="9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最终用户视角的功能结构。检索引擎 HybridRetriever 聚合稀疏通道 BM25Index(倒排索引 + k1=1.5/b=0.75)、稠密通道 VectorIndex(EmbeddingProvider 抽象:TF-IDF 词袋或智谱 embedding-3)与 fuse_rrf 融合;生成端 GeneratorProvider 具有本地抽取式与智谱 GLM 两个实现;ingestion 负责语料摄取、QA 双通道分块与热重建。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表 3-1  逻辑构件与职责</w:t>
      </w:r>
    </w:p>
    <w:tbl>
      <w:tblPr>
        <w:tblW w:type="pct" w:w="5000"/>
        <w:tblBorders>
          <w:top w:val="single" w:color="3B5BFD" w:sz="4"/>
          <w:left w:val="none" w:color="FFFFFF" w:sz="0"/>
          <w:bottom w:val="single" w:color="3B5BFD" w:sz="4"/>
          <w:right w:val="none" w:color="FFFFFF" w:sz="0"/>
          <w:insideH w:val="single" w:color="D8DEF5" w:sz="1"/>
          <w:insideV w:val="none" w:color="FFFFFF" w:sz="0"/>
        </w:tblBorders>
        <w:tblLayout w:type="fixed"/>
      </w:tblPr>
      <w:tblGrid>
        <w:gridCol w:w="1900"/>
        <w:gridCol w:w="2600"/>
        <w:gridCol w:w="4845"/>
      </w:tblGrid>
      <w:tr>
        <w:trPr>
          <w:cantSplit/>
          <w:tblHeader/>
        </w:trPr>
        <w:tc>
          <w:tcPr>
            <w:tcW w:type="dxa" w:w="19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构件</w:t>
            </w:r>
          </w:p>
        </w:tc>
        <w:tc>
          <w:tcPr>
            <w:tcW w:type="dxa" w:w="26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位置</w:t>
            </w:r>
          </w:p>
        </w:tc>
        <w:tc>
          <w:tcPr>
            <w:tcW w:type="dxa" w:w="4845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HybridRetriever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services/retrieval.py</w:t>
            </w:r>
          </w:p>
        </w:tc>
        <w:tc>
          <w:tcPr>
            <w:tcW w:type="dxa" w:w="48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双通道检索编排、RRF 融合、文档级去重、无知识兜底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GeneratorProvider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services/generation.py</w:t>
            </w:r>
          </w:p>
        </w:tc>
        <w:tc>
          <w:tcPr>
            <w:tcW w:type="dxa" w:w="48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流式生成抽象;本地抽取式/云端 GLM;异常熔断降级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ingestion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services/ingestion.py</w:t>
            </w:r>
          </w:p>
        </w:tc>
        <w:tc>
          <w:tcPr>
            <w:tcW w:type="dxa" w:w="48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语料装载、q/a 分块(答案按 3 句滑窗)、统一文件锁热更新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api 路由组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app/api/*</w:t>
            </w:r>
          </w:p>
        </w:tc>
        <w:tc>
          <w:tcPr>
            <w:tcW w:type="dxa" w:w="48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chat / knowledge / conversations / admin 四组 HTTP 用例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repository.db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repository/db.py</w:t>
            </w:r>
          </w:p>
        </w:tc>
        <w:tc>
          <w:tcPr>
            <w:tcW w:type="dxa" w:w="48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SQLite 仓储:会话、消息、查询日志(接口隔离 SQL)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security</w:t>
            </w:r>
          </w:p>
        </w:tc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core/security.py</w:t>
            </w:r>
          </w:p>
        </w:tc>
        <w:tc>
          <w:tcPr>
            <w:tcW w:type="dxa" w:w="48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令牌桶限流(有界淘汰)与 ADMIN_TOKEN 写鉴权</w:t>
            </w:r>
          </w:p>
        </w:tc>
      </w:tr>
    </w:tbl>
    <w:p>
      <w:pPr>
        <w:pStyle w:val="Heading2"/>
        <w:spacing w:after="110" w:before="260"/>
      </w:pPr>
      <w:bookmarkStart w:name="_Toc10" w:id="10"/>
      <w:r>
        <w:rPr>
          <w:rFonts w:ascii="Calibri" w:eastAsia="SimHei"/>
          <w:b/>
          <w:bCs/>
          <w:color w:val="1C2333"/>
          <w:sz w:val="28"/>
          <w:szCs w:val="28"/>
        </w:rPr>
        <w:t xml:space="preserve">3.2  进程视图(并发与同步)</w:t>
      </w:r>
      <w:bookmarkEnd w:id="10"/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运行时为单进程 asyncio 事件循环:chat 以流式生成器逐事件推送 SSE,不阻塞其它请求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并发控制:入口令牌桶按用户隔离;桶字典上限 1 万、最久未活跃淘汰,防伪造令牌内存耗尽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热更新同步:ingestion 持文件锁串行化「读语料-写文件-重建索引」,新增与删除共用一把锁(F8 修复)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SQLite 连接为线程局部并开启 WAL,读多写少场景并发安全</w:t>
      </w:r>
    </w:p>
    <w:p>
      <w:pPr>
        <w:pStyle w:val="Heading2"/>
        <w:spacing w:after="110" w:before="260"/>
      </w:pPr>
      <w:bookmarkStart w:name="_Toc11" w:id="11"/>
      <w:r>
        <w:rPr>
          <w:rFonts w:ascii="Calibri" w:eastAsia="SimHei"/>
          <w:b/>
          <w:bCs/>
          <w:color w:val="1C2333"/>
          <w:sz w:val="28"/>
          <w:szCs w:val="28"/>
        </w:rPr>
        <w:t xml:space="preserve">3.3  开发视图(代码组织)</w:t>
      </w:r>
      <w:bookmarkEnd w:id="11"/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backend/app 四分包 api / services / repository / core,依赖方向单向:api → services → repository/core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frontend 原生三文件 SPA(index.html / app.js / style.css),无构建链;scripts 为评测工具链(eval_matrix / bench / acceptance);tests 含冒烟与完善轮回归共 13 项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构建与文档脚本位于 .build/(deck 与 docx 生成均可在本机一键复现)</w:t>
      </w:r>
    </w:p>
    <w:p>
      <w:pPr>
        <w:pStyle w:val="Heading2"/>
        <w:spacing w:after="110" w:before="260"/>
      </w:pPr>
      <w:bookmarkStart w:name="_Toc12" w:id="12"/>
      <w:r>
        <w:rPr>
          <w:rFonts w:ascii="Calibri" w:eastAsia="SimHei"/>
          <w:b/>
          <w:bCs/>
          <w:color w:val="1C2333"/>
          <w:sz w:val="28"/>
          <w:szCs w:val="28"/>
        </w:rPr>
        <w:t xml:space="preserve">3.4  物理视图(部署拓扑)</w:t>
      </w:r>
      <w:bookmarkEnd w:id="12"/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18478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eastAsia="Microsoft YaHei"/>
          <w:color w:val="5A6478"/>
          <w:sz w:val="18"/>
          <w:szCs w:val="18"/>
        </w:rPr>
        <w:t xml:space="preserve">图 3-1  部署拓扑与演进(演示单机 → Nginx 反代多实例 → 限流外置)</w:t>
      </w:r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演示形态:浏览器直接访问 uvicorn(127.0.0.1:8000,同源托管前端静态资源)。生产形态:Nginx 终止 TLS 并反代 /api(proxy_buffering off 保 SSE 直通,proxy_read_timeout ≥ 60s),静态资源直出;多实例共享外置数据;云端 GLM/embedding 为可选外部服务,异常自动降级本地。</w:t>
      </w:r>
    </w:p>
    <w:p>
      <w:pPr>
        <w:pStyle w:val="Heading2"/>
        <w:spacing w:after="110" w:before="260"/>
      </w:pPr>
      <w:bookmarkStart w:name="_Toc13" w:id="13"/>
      <w:r>
        <w:rPr>
          <w:rFonts w:ascii="Calibri" w:eastAsia="SimHei"/>
          <w:b/>
          <w:bCs/>
          <w:color w:val="1C2333"/>
          <w:sz w:val="28"/>
          <w:szCs w:val="28"/>
        </w:rPr>
        <w:t xml:space="preserve">3.5  场景视图(端到端用例走查)</w:t>
      </w:r>
      <w:bookmarkEnd w:id="13"/>
    </w:p>
    <w:p>
      <w:pPr>
        <w:keepNext/>
        <w:spacing w:after="40" w:before="120"/>
        <w:jc w:val="center"/>
      </w:pPr>
      <w:r>
        <w:drawing>
          <wp:inline distT="0" distB="0" distL="0" distR="0">
            <wp:extent cx="3143250" cy="19145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eastAsia="Microsoft YaHei"/>
          <w:color w:val="5A6478"/>
          <w:sz w:val="18"/>
          <w:szCs w:val="18"/>
        </w:rPr>
        <w:t xml:space="preserve">图 3-2  一次问答的时序:检索、融合、流式生成与引用溯源</w:t>
      </w:r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以「图书馆开放时间是几点」走查:浏览器 POST /api/chat → 网关限流校验(进程视图)→ HybridRetriever 双通道检索与 RRF 融合(逻辑视图)→ meta 事件先推引用来源 → GeneratorProvider 流式生成 → 消息与查询日志落库(数据层)→ 引用卡片渲染。该场景贯穿四视图,是验收 A1-A4 的载体。</w:t>
      </w:r>
    </w:p>
    <w:p>
      <w:pPr>
        <w:pStyle w:val="Heading1"/>
        <w:spacing w:after="140" w:before="360"/>
      </w:pPr>
      <w:bookmarkStart w:name="_Toc14" w:id="14"/>
      <w:r>
        <w:rPr>
          <w:rFonts w:ascii="Calibri" w:eastAsia="SimHei"/>
          <w:b/>
          <w:bCs/>
          <w:color w:val="1C2333"/>
          <w:sz w:val="32"/>
          <w:szCs w:val="32"/>
        </w:rPr>
        <w:t xml:space="preserve">4  详细设计:RAG 检索引擎</w:t>
      </w:r>
      <w:bookmarkEnd w:id="14"/>
    </w:p>
    <w:p>
      <w:pPr>
        <w:pStyle w:val="Heading2"/>
        <w:spacing w:after="110" w:before="260"/>
      </w:pPr>
      <w:bookmarkStart w:name="_Toc15" w:id="15"/>
      <w:r>
        <w:rPr>
          <w:rFonts w:ascii="Calibri" w:eastAsia="SimHei"/>
          <w:b/>
          <w:bCs/>
          <w:color w:val="1C2333"/>
          <w:sz w:val="28"/>
          <w:szCs w:val="28"/>
        </w:rPr>
        <w:t xml:space="preserve">4.1  双通道检索</w:t>
      </w:r>
      <w:bookmarkEnd w:id="15"/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稀疏通道 BM25:jieba lcut_for_search 分词(停用词过滤),倒排索引(词→{文档:词频}),查询仅访问命中词倒排链;与暴力扫描逐位等价(单元测试校验),当前语料 10 倍、20 倍语料 35 倍吞吐(F6)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稠密通道:演示环境 TF-IDF 加权词袋(与 BM25 共享 idf);生产切智谱 embedding-3(批量嵌入 + 内存缓存),接口不变</w:t>
      </w:r>
    </w:p>
    <w:p>
      <w:pPr>
        <w:pStyle w:val="Heading2"/>
        <w:spacing w:after="110" w:before="260"/>
      </w:pPr>
      <w:bookmarkStart w:name="_Toc16" w:id="16"/>
      <w:r>
        <w:rPr>
          <w:rFonts w:ascii="Calibri" w:eastAsia="SimHei"/>
          <w:b/>
          <w:bCs/>
          <w:color w:val="1C2333"/>
          <w:sz w:val="28"/>
          <w:szCs w:val="28"/>
        </w:rPr>
        <w:t xml:space="preserve">4.2  RRF 融合与质量控制</w:t>
      </w:r>
      <w:bookmarkEnd w:id="16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融合公式为标准 RRF:score(d) = Σ_channel 1/(RRF_K + rank),RRF_K=60,对排名融合、免分数归一化(完善轮 F1 将常数权重修正为排名权重,为语义通道预留正确行为)。质量控制包含文档级去重(同文档 q/a 双通道 chunk 仅保留最高分,避免挤占名额)与无知识硬零兜底(候选与查询实质词零交集即判无知识,触发 FR-6)。</w:t>
      </w:r>
    </w:p>
    <w:p>
      <w:pPr>
        <w:pStyle w:val="Heading2"/>
        <w:spacing w:after="110" w:before="260"/>
      </w:pPr>
      <w:bookmarkStart w:name="_Toc17" w:id="17"/>
      <w:r>
        <w:rPr>
          <w:rFonts w:ascii="Calibri" w:eastAsia="SimHei"/>
          <w:b/>
          <w:bCs/>
          <w:color w:val="1C2333"/>
          <w:sz w:val="28"/>
          <w:szCs w:val="28"/>
        </w:rPr>
        <w:t xml:space="preserve">4.3  重排序(实验开关)</w:t>
      </w:r>
      <w:bookmarkEnd w:id="17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LightweightReranker 为特征化词面重排(实质词覆盖/二元词重叠/句子级重叠/标签信号);62 条评测显示其无稳定收益(Hit@1 77.4% vs RRF 80.6%),故 RERANK_ENABLED 默认关闭,保留 Provider 化接口,计划替换 Cross-Encoder(bge-reranker)后重评。</w:t>
      </w:r>
    </w:p>
    <w:p>
      <w:pPr>
        <w:pStyle w:val="Heading2"/>
        <w:spacing w:after="110" w:before="260"/>
      </w:pPr>
      <w:bookmarkStart w:name="_Toc18" w:id="18"/>
      <w:r>
        <w:rPr>
          <w:rFonts w:ascii="Calibri" w:eastAsia="SimHei"/>
          <w:b/>
          <w:bCs/>
          <w:color w:val="1C2333"/>
          <w:sz w:val="28"/>
          <w:szCs w:val="28"/>
        </w:rPr>
        <w:t xml:space="preserve">4.4  参数标定(评测驱动)</w:t>
      </w:r>
      <w:bookmarkEnd w:id="18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表 4-1  关键参数与标定依据</w:t>
      </w:r>
    </w:p>
    <w:tbl>
      <w:tblPr>
        <w:tblW w:type="pct" w:w="5000"/>
        <w:tblBorders>
          <w:top w:val="single" w:color="3B5BFD" w:sz="4"/>
          <w:left w:val="none" w:color="FFFFFF" w:sz="0"/>
          <w:bottom w:val="single" w:color="3B5BFD" w:sz="4"/>
          <w:right w:val="none" w:color="FFFFFF" w:sz="0"/>
          <w:insideH w:val="single" w:color="D8DEF5" w:sz="1"/>
          <w:insideV w:val="none" w:color="FFFFFF" w:sz="0"/>
        </w:tblBorders>
        <w:tblLayout w:type="fixed"/>
      </w:tblPr>
      <w:tblGrid>
        <w:gridCol w:w="2600"/>
        <w:gridCol w:w="1500"/>
        <w:gridCol w:w="5245"/>
      </w:tblGrid>
      <w:tr>
        <w:trPr>
          <w:cantSplit/>
          <w:tblHeader/>
        </w:trPr>
        <w:tc>
          <w:tcPr>
            <w:tcW w:type="dxa" w:w="26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tcW w:type="dxa" w:w="15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取值</w:t>
            </w:r>
          </w:p>
        </w:tc>
        <w:tc>
          <w:tcPr>
            <w:tcW w:type="dxa" w:w="5245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标定依据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CHUNK_TOP_K / FINAL_TOP_K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5 / 3</w:t>
            </w:r>
          </w:p>
        </w:tc>
        <w:tc>
          <w:tcPr>
            <w:tcW w:type="dxa" w:w="52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融合候选与最终上下文条数,Top-3 已覆盖 98.4% 正解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RRF_K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60</w:t>
            </w:r>
          </w:p>
        </w:tc>
        <w:tc>
          <w:tcPr>
            <w:tcW w:type="dxa" w:w="52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标准取值;对排名融合,语料规模不敏感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MIN_RELEVANCE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0.08</w:t>
            </w:r>
          </w:p>
        </w:tc>
        <w:tc>
          <w:tcPr>
            <w:tcW w:type="dxa" w:w="52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62 条标定:0.15 误杀口语化正解,0.06 放入无关命中</w:t>
            </w:r>
          </w:p>
        </w:tc>
      </w:tr>
    </w:tbl>
    <w:p>
      <w:pPr>
        <w:pStyle w:val="Heading1"/>
        <w:spacing w:after="140" w:before="360"/>
      </w:pPr>
      <w:bookmarkStart w:name="_Toc19" w:id="19"/>
      <w:r>
        <w:rPr>
          <w:rFonts w:ascii="Calibri" w:eastAsia="SimHei"/>
          <w:b/>
          <w:bCs/>
          <w:color w:val="1C2333"/>
          <w:sz w:val="32"/>
          <w:szCs w:val="32"/>
        </w:rPr>
        <w:t xml:space="preserve">5  数据库设计</w:t>
      </w:r>
      <w:bookmarkEnd w:id="19"/>
    </w:p>
    <w:p>
      <w:pPr>
        <w:pStyle w:val="Heading2"/>
        <w:spacing w:after="110" w:before="260"/>
      </w:pPr>
      <w:bookmarkStart w:name="_Toc20" w:id="20"/>
      <w:r>
        <w:rPr>
          <w:rFonts w:ascii="Calibri" w:eastAsia="SimHei"/>
          <w:b/>
          <w:bCs/>
          <w:color w:val="1C2333"/>
          <w:sz w:val="28"/>
          <w:szCs w:val="28"/>
        </w:rPr>
        <w:t xml:space="preserve">5.1  存储划分与 ER 关系</w:t>
      </w:r>
      <w:bookmarkEnd w:id="20"/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关系数据(SQLite):conversation 会话 1→N message 消息;query_log 查询日志独立追加,不关联个人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文档数据(JSON):知识语料 campus_qa.json,摄取为 136 个双通道 chunk(question 通道管问法匹配,answer 通道按 3 句滑窗管内容覆盖,同 doc_id 关联引用溯源)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内存数据:BM25 倒排与向量矩阵构成检索索引,版本号递增,热更新免重启重建</w:t>
      </w:r>
    </w:p>
    <w:p>
      <w:pPr>
        <w:pStyle w:val="Heading2"/>
        <w:spacing w:after="110" w:before="260"/>
      </w:pPr>
      <w:bookmarkStart w:name="_Toc21" w:id="21"/>
      <w:r>
        <w:rPr>
          <w:rFonts w:ascii="Calibri" w:eastAsia="SimHei"/>
          <w:b/>
          <w:bCs/>
          <w:color w:val="1C2333"/>
          <w:sz w:val="28"/>
          <w:szCs w:val="28"/>
        </w:rPr>
        <w:t xml:space="preserve">5.2  表结构</w:t>
      </w:r>
      <w:bookmarkEnd w:id="21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表 5-1  关系表结构(SQLite DDL 摘要)</w:t>
      </w:r>
    </w:p>
    <w:tbl>
      <w:tblPr>
        <w:tblW w:type="pct" w:w="5000"/>
        <w:tblBorders>
          <w:top w:val="single" w:color="3B5BFD" w:sz="4"/>
          <w:left w:val="none" w:color="FFFFFF" w:sz="0"/>
          <w:bottom w:val="single" w:color="3B5BFD" w:sz="4"/>
          <w:right w:val="none" w:color="FFFFFF" w:sz="0"/>
          <w:insideH w:val="single" w:color="D8DEF5" w:sz="1"/>
          <w:insideV w:val="none" w:color="FFFFFF" w:sz="0"/>
        </w:tblBorders>
        <w:tblLayout w:type="fixed"/>
      </w:tblPr>
      <w:tblGrid>
        <w:gridCol w:w="1900"/>
        <w:gridCol w:w="4200"/>
        <w:gridCol w:w="3245"/>
      </w:tblGrid>
      <w:tr>
        <w:trPr>
          <w:cantSplit/>
          <w:tblHeader/>
        </w:trPr>
        <w:tc>
          <w:tcPr>
            <w:tcW w:type="dxa" w:w="19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表</w:t>
            </w:r>
          </w:p>
        </w:tc>
        <w:tc>
          <w:tcPr>
            <w:tcW w:type="dxa" w:w="42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dxa" w:w="3245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conversation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id PK / user_token / title / created_at / updated_at</w:t>
            </w:r>
          </w:p>
        </w:tc>
        <w:tc>
          <w:tcPr>
            <w:tcW w:type="dxa" w:w="32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用户令牌隔离;标题取首问前 24 字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message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id PK / conversation_id FK / role / content / sources(JSON) / latency_ms / created_at</w:t>
            </w:r>
          </w:p>
        </w:tc>
        <w:tc>
          <w:tcPr>
            <w:tcW w:type="dxa" w:w="32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sources 保存引用来源快照,支撑历史回放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query_log</w:t>
            </w:r>
          </w:p>
        </w:tc>
        <w:tc>
          <w:tcPr>
            <w:tcW w:type="dxa" w:w="4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id PK 自增 / ts / query / hit / top_score / latency_ms / category</w:t>
            </w:r>
          </w:p>
        </w:tc>
        <w:tc>
          <w:tcPr>
            <w:tcW w:type="dxa" w:w="32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看板聚合源;仅追加</w:t>
            </w:r>
          </w:p>
        </w:tc>
      </w:tr>
    </w:tbl>
    <w:p>
      <w:pPr>
        <w:pStyle w:val="Heading2"/>
        <w:spacing w:after="110" w:before="260"/>
      </w:pPr>
      <w:bookmarkStart w:name="_Toc22" w:id="22"/>
      <w:r>
        <w:rPr>
          <w:rFonts w:ascii="Calibri" w:eastAsia="SimHei"/>
          <w:b/>
          <w:bCs/>
          <w:color w:val="1C2333"/>
          <w:sz w:val="28"/>
          <w:szCs w:val="28"/>
        </w:rPr>
        <w:t xml:space="preserve">5.3  演进设计</w:t>
      </w:r>
      <w:bookmarkEnd w:id="22"/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仓储模式隔离 SQL:repository/db.py 对上仅暴露函数接口,替换 PostgreSQL 只改实现不改调用方(NFR-6)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知识文件与索引共用一把文件锁双写一致(F8);SQLite 开 WAL 支持并发读</w:t>
      </w:r>
    </w:p>
    <w:p>
      <w:pPr>
        <w:pStyle w:val="Heading1"/>
        <w:spacing w:after="140" w:before="360"/>
      </w:pPr>
      <w:bookmarkStart w:name="_Toc23" w:id="23"/>
      <w:r>
        <w:rPr>
          <w:rFonts w:ascii="Calibri" w:eastAsia="SimHei"/>
          <w:b/>
          <w:bCs/>
          <w:color w:val="1C2333"/>
          <w:sz w:val="32"/>
          <w:szCs w:val="32"/>
        </w:rPr>
        <w:t xml:space="preserve">6  接口设计</w:t>
      </w:r>
      <w:bookmarkEnd w:id="23"/>
    </w:p>
    <w:p>
      <w:pPr>
        <w:pStyle w:val="Heading2"/>
        <w:spacing w:after="110" w:before="260"/>
      </w:pPr>
      <w:bookmarkStart w:name="_Toc24" w:id="24"/>
      <w:r>
        <w:rPr>
          <w:rFonts w:ascii="Calibri" w:eastAsia="SimHei"/>
          <w:b/>
          <w:bCs/>
          <w:color w:val="1C2333"/>
          <w:sz w:val="28"/>
          <w:szCs w:val="28"/>
        </w:rPr>
        <w:t xml:space="preserve">6.1  问答接口(SSE)</w:t>
      </w:r>
      <w:bookmarkEnd w:id="24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POST /api/chat,请求体 {message, conversation_id?},响应为 text/event-stream 事件序列:meta(会话 id、检索耗时、引用来源数组、引擎名)→ delta(增量文本)多次 → done(消息 id、总耗时);流内异常推送 error 事件。429 表示触发限流。</w:t>
      </w:r>
    </w:p>
    <w:p>
      <w:pPr>
        <w:pStyle w:val="Heading2"/>
        <w:spacing w:after="110" w:before="260"/>
      </w:pPr>
      <w:bookmarkStart w:name="_Toc25" w:id="25"/>
      <w:r>
        <w:rPr>
          <w:rFonts w:ascii="Calibri" w:eastAsia="SimHei"/>
          <w:b/>
          <w:bCs/>
          <w:color w:val="1C2333"/>
          <w:sz w:val="28"/>
          <w:szCs w:val="28"/>
        </w:rPr>
        <w:t xml:space="preserve">6.2  知识与运维接口</w:t>
      </w:r>
      <w:bookmarkEnd w:id="25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表 6-1  API 摘要(与 SRS 表 6-1 对应)</w:t>
      </w:r>
    </w:p>
    <w:tbl>
      <w:tblPr>
        <w:tblW w:type="pct" w:w="5000"/>
        <w:tblBorders>
          <w:top w:val="single" w:color="3B5BFD" w:sz="4"/>
          <w:left w:val="none" w:color="FFFFFF" w:sz="0"/>
          <w:bottom w:val="single" w:color="3B5BFD" w:sz="4"/>
          <w:right w:val="none" w:color="FFFFFF" w:sz="0"/>
          <w:insideH w:val="single" w:color="D8DEF5" w:sz="1"/>
          <w:insideV w:val="none" w:color="FFFFFF" w:sz="0"/>
        </w:tblBorders>
        <w:tblLayout w:type="fixed"/>
      </w:tblPr>
      <w:tblGrid>
        <w:gridCol w:w="2500"/>
        <w:gridCol w:w="900"/>
        <w:gridCol w:w="1700"/>
        <w:gridCol w:w="4245"/>
      </w:tblGrid>
      <w:tr>
        <w:trPr>
          <w:cantSplit/>
          <w:tblHeader/>
        </w:trPr>
        <w:tc>
          <w:tcPr>
            <w:tcW w:type="dxa" w:w="25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端点</w:t>
            </w:r>
          </w:p>
        </w:tc>
        <w:tc>
          <w:tcPr>
            <w:tcW w:type="dxa" w:w="9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dxa" w:w="17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语义</w:t>
            </w:r>
          </w:p>
        </w:tc>
        <w:tc>
          <w:tcPr>
            <w:tcW w:type="dxa" w:w="4245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关键行为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/api/knowledge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GET</w:t>
            </w:r>
          </w:p>
        </w:tc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分页列表</w:t>
            </w:r>
          </w:p>
        </w:tc>
        <w:tc>
          <w:tcPr>
            <w:tcW w:type="dxa" w:w="42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category / q 过滤;分类集合基于全量计算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/api/knowledge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POST</w:t>
            </w:r>
          </w:p>
        </w:tc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批量新增</w:t>
            </w:r>
          </w:p>
        </w:tc>
        <w:tc>
          <w:tcPr>
            <w:tcW w:type="dxa" w:w="42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锁内追加+热重建,版本递增;ADMIN_TOKEN 启用时需 X-Admin-Token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/api/knowledge/{id}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DELETE</w:t>
            </w:r>
          </w:p>
        </w:tc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删除</w:t>
            </w:r>
          </w:p>
        </w:tc>
        <w:tc>
          <w:tcPr>
            <w:tcW w:type="dxa" w:w="42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remove_document 统一锁;404 不存在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/api/knowledge/search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GET</w:t>
            </w:r>
          </w:p>
        </w:tc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调试检索</w:t>
            </w:r>
          </w:p>
        </w:tc>
        <w:tc>
          <w:tcPr>
            <w:tcW w:type="dxa" w:w="42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返回双通道排名与融合分数(观测数据不伪造,F2)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/api/admin/stats</w:t>
            </w:r>
          </w:p>
        </w:tc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GET</w:t>
            </w:r>
          </w:p>
        </w:tc>
        <w:tc>
          <w:tcPr>
            <w:tcW w:type="dxa" w:w="1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运行统计</w:t>
            </w:r>
          </w:p>
        </w:tc>
        <w:tc>
          <w:tcPr>
            <w:tcW w:type="dxa" w:w="42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含 llm/embedding provider 与索引版本(如实展示)</w:t>
            </w:r>
          </w:p>
        </w:tc>
      </w:tr>
    </w:tbl>
    <w:p>
      <w:pPr>
        <w:pStyle w:val="Heading1"/>
        <w:spacing w:after="140" w:before="360"/>
      </w:pPr>
      <w:bookmarkStart w:name="_Toc26" w:id="26"/>
      <w:r>
        <w:rPr>
          <w:rFonts w:ascii="Calibri" w:eastAsia="SimHei"/>
          <w:b/>
          <w:bCs/>
          <w:color w:val="1C2333"/>
          <w:sz w:val="32"/>
          <w:szCs w:val="32"/>
        </w:rPr>
        <w:t xml:space="preserve">7  前端设计(SPA)</w:t>
      </w:r>
      <w:bookmarkEnd w:id="26"/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三视图单页应用:智能问答(流式渲染+引用卡片)、知识库管理(分页/筛选/录入)、运行看板(统计+分类热点)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SSE 解析:fetch 流式读取,按事件分派;meta 先行渲染引用区,打字机增量渲染回答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安全实现:全部 innerHTML 插值经 escapeHtml(来源标题/看板分类/历史回放三处修复,F3);管理令牌按需提示输入并记忆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交互细节与状态设计(空态/限流/无知识兜底/降级提示)见《UI 原型》交付物</w:t>
      </w:r>
    </w:p>
    <w:p>
      <w:pPr>
        <w:pStyle w:val="Heading1"/>
        <w:spacing w:after="140" w:before="360"/>
      </w:pPr>
      <w:bookmarkStart w:name="_Toc27" w:id="27"/>
      <w:r>
        <w:rPr>
          <w:rFonts w:ascii="Calibri" w:eastAsia="SimHei"/>
          <w:b/>
          <w:bCs/>
          <w:color w:val="1C2333"/>
          <w:sz w:val="32"/>
          <w:szCs w:val="32"/>
        </w:rPr>
        <w:t xml:space="preserve">8  部署与运维</w:t>
      </w:r>
      <w:bookmarkEnd w:id="27"/>
    </w:p>
    <w:p>
      <w:pPr>
        <w:pStyle w:val="Heading2"/>
        <w:spacing w:after="110" w:before="260"/>
      </w:pPr>
      <w:bookmarkStart w:name="_Toc28" w:id="28"/>
      <w:r>
        <w:rPr>
          <w:rFonts w:ascii="Calibri" w:eastAsia="SimHei"/>
          <w:b/>
          <w:bCs/>
          <w:color w:val="1C2333"/>
          <w:sz w:val="28"/>
          <w:szCs w:val="28"/>
        </w:rPr>
        <w:t xml:space="preserve">8.1  配置项(环境变量)</w:t>
      </w:r>
      <w:bookmarkEnd w:id="28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表 8-1  配置项</w:t>
      </w:r>
    </w:p>
    <w:tbl>
      <w:tblPr>
        <w:tblW w:type="pct" w:w="5000"/>
        <w:tblBorders>
          <w:top w:val="single" w:color="3B5BFD" w:sz="4"/>
          <w:left w:val="none" w:color="FFFFFF" w:sz="0"/>
          <w:bottom w:val="single" w:color="3B5BFD" w:sz="4"/>
          <w:right w:val="none" w:color="FFFFFF" w:sz="0"/>
          <w:insideH w:val="single" w:color="D8DEF5" w:sz="1"/>
          <w:insideV w:val="none" w:color="FFFFFF" w:sz="0"/>
        </w:tblBorders>
        <w:tblLayout w:type="fixed"/>
      </w:tblPr>
      <w:tblGrid>
        <w:gridCol w:w="3200"/>
        <w:gridCol w:w="1300"/>
        <w:gridCol w:w="4845"/>
      </w:tblGrid>
      <w:tr>
        <w:trPr>
          <w:cantSplit/>
          <w:tblHeader/>
        </w:trPr>
        <w:tc>
          <w:tcPr>
            <w:tcW w:type="dxa" w:w="32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变量</w:t>
            </w:r>
          </w:p>
        </w:tc>
        <w:tc>
          <w:tcPr>
            <w:tcW w:type="dxa" w:w="13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默认</w:t>
            </w:r>
          </w:p>
        </w:tc>
        <w:tc>
          <w:tcPr>
            <w:tcW w:type="dxa" w:w="4845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ZHIPUAI_API_KEY</w:t>
            </w:r>
          </w:p>
        </w:tc>
        <w:tc>
          <w:tcPr>
            <w:tcW w:type="dxa" w:w="1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空</w:t>
            </w:r>
          </w:p>
        </w:tc>
        <w:tc>
          <w:tcPr>
            <w:tcW w:type="dxa" w:w="48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配置后生成切 GLM、向量切 embedding-3;异常自动降级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LLM_PROVIDER / EMBEDDING_PROVIDER</w:t>
            </w:r>
          </w:p>
        </w:tc>
        <w:tc>
          <w:tcPr>
            <w:tcW w:type="dxa" w:w="1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local / auto</w:t>
            </w:r>
          </w:p>
        </w:tc>
        <w:tc>
          <w:tcPr>
            <w:tcW w:type="dxa" w:w="48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Provider 显式指定;auto=有 Key 用云端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RERANK_ENABLED</w:t>
            </w:r>
          </w:p>
        </w:tc>
        <w:tc>
          <w:tcPr>
            <w:tcW w:type="dxa" w:w="1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0</w:t>
            </w:r>
          </w:p>
        </w:tc>
        <w:tc>
          <w:tcPr>
            <w:tcW w:type="dxa" w:w="48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重排实验开关(实测无收益,默认关)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RATE_LIMIT_QPS / BURST</w:t>
            </w:r>
          </w:p>
        </w:tc>
        <w:tc>
          <w:tcPr>
            <w:tcW w:type="dxa" w:w="1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5 / 10</w:t>
            </w:r>
          </w:p>
        </w:tc>
        <w:tc>
          <w:tcPr>
            <w:tcW w:type="dxa" w:w="48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单用户令牌桶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ADMIN_TOKEN</w:t>
            </w:r>
          </w:p>
        </w:tc>
        <w:tc>
          <w:tcPr>
            <w:tcW w:type="dxa" w:w="1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空</w:t>
            </w:r>
          </w:p>
        </w:tc>
        <w:tc>
          <w:tcPr>
            <w:tcW w:type="dxa" w:w="48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设置后知识写接口强制 X-Admin-Token(演示开放模式启动时打印提示)</w:t>
            </w:r>
          </w:p>
        </w:tc>
      </w:tr>
    </w:tbl>
    <w:p>
      <w:pPr>
        <w:pStyle w:val="Heading2"/>
        <w:spacing w:after="110" w:before="260"/>
      </w:pPr>
      <w:bookmarkStart w:name="_Toc29" w:id="29"/>
      <w:r>
        <w:rPr>
          <w:rFonts w:ascii="Calibri" w:eastAsia="SimHei"/>
          <w:b/>
          <w:bCs/>
          <w:color w:val="1C2333"/>
          <w:sz w:val="28"/>
          <w:szCs w:val="28"/>
        </w:rPr>
        <w:t xml:space="preserve">8.2  扩展三级与反向代理要点</w:t>
      </w:r>
      <w:bookmarkEnd w:id="29"/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第一级 uvicorn workers 竖扩;第二级 Nginx 反代多实例(应用无状态,SQLite/索引外置或每实例只读);第三级限流外置 Redis 滑动窗口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Nginx 要点:proxy_buffering off 保 SSE 直通;proxy_read_timeout ≥ 60s;静态直出与 TLS 终止;limit_req 与应用令牌桶双层限流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容量基线:单实例 E2E 42-44 QPS(0 失败),万人在校场景余量 10 倍以上;成本测算见《经济适用型与运营方案》</w:t>
      </w:r>
    </w:p>
    <w:p>
      <w:pPr>
        <w:pStyle w:val="Heading1"/>
        <w:spacing w:after="140" w:before="360"/>
      </w:pPr>
      <w:bookmarkStart w:name="_Toc30" w:id="30"/>
      <w:r>
        <w:rPr>
          <w:rFonts w:ascii="Calibri" w:eastAsia="SimHei"/>
          <w:b/>
          <w:bCs/>
          <w:color w:val="1C2333"/>
          <w:sz w:val="32"/>
          <w:szCs w:val="32"/>
        </w:rPr>
        <w:t xml:space="preserve">9  架构决策记录(ADR)</w:t>
      </w:r>
      <w:bookmarkEnd w:id="30"/>
    </w:p>
    <w:p>
      <w:pPr>
        <w:pStyle w:val="Heading2"/>
        <w:spacing w:after="110" w:before="260"/>
      </w:pPr>
      <w:bookmarkStart w:name="_Toc31" w:id="31"/>
      <w:r>
        <w:rPr>
          <w:rFonts w:ascii="Calibri" w:eastAsia="SimHei"/>
          <w:b/>
          <w:bCs/>
          <w:color w:val="1C2333"/>
          <w:sz w:val="28"/>
          <w:szCs w:val="28"/>
        </w:rPr>
        <w:t xml:space="preserve">ADR-1 模块化单体起步,预留服务化边界</w:t>
      </w:r>
      <w:bookmarkEnd w:id="31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背景: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课程周期 8 周、3 人团队,微服务全栈成本不可承受,但需为演进留路。</w:t>
      </w:r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决策: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五层分包、进程内调用、应用无状态(SQLite/索引可外置)。</w:t>
      </w:r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后果: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正:交付快、调试链路短;负:规模增长后需按边界拆分(已预留在分包与接口设计)。</w:t>
      </w:r>
    </w:p>
    <w:p>
      <w:pPr>
        <w:pStyle w:val="Heading2"/>
        <w:spacing w:after="110" w:before="260"/>
      </w:pPr>
      <w:bookmarkStart w:name="_Toc32" w:id="32"/>
      <w:r>
        <w:rPr>
          <w:rFonts w:ascii="Calibri" w:eastAsia="SimHei"/>
          <w:b/>
          <w:bCs/>
          <w:color w:val="1C2333"/>
          <w:sz w:val="28"/>
          <w:szCs w:val="28"/>
        </w:rPr>
        <w:t xml:space="preserve">ADR-2 混合检索 + RRF 融合</w:t>
      </w:r>
      <w:bookmarkEnd w:id="32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背景: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规章问答词面匹配强,但口语改写易漏召回,单通道无冗余。</w:t>
      </w:r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决策: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BM25 ∥ 向量双通道,RRF 对排名融合免归一化;文档级去重 + 硬零兜底。</w:t>
      </w:r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后果: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正:Hit@3 98.4%,通道独立演进;负:双索引成本,参数需评测标定。</w:t>
      </w:r>
    </w:p>
    <w:p>
      <w:pPr>
        <w:pStyle w:val="Heading2"/>
        <w:spacing w:after="110" w:before="260"/>
      </w:pPr>
      <w:bookmarkStart w:name="_Toc33" w:id="33"/>
      <w:r>
        <w:rPr>
          <w:rFonts w:ascii="Calibri" w:eastAsia="SimHei"/>
          <w:b/>
          <w:bCs/>
          <w:color w:val="1C2333"/>
          <w:sz w:val="28"/>
          <w:szCs w:val="28"/>
        </w:rPr>
        <w:t xml:space="preserve">ADR-3 SSE 承载流式输出</w:t>
      </w:r>
      <w:bookmarkEnd w:id="33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背景: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回答生成耗时数百毫秒,同步等待体验差。</w:t>
      </w:r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决策: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meta 先推引用,delta 增量推文,done 收尾;前端打字机渲染。</w:t>
      </w:r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后果: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正:首字即时、可感知进度;负:反向代理需关缓冲(部署清单已列)。</w:t>
      </w:r>
    </w:p>
    <w:p>
      <w:pPr>
        <w:pStyle w:val="Heading2"/>
        <w:spacing w:after="110" w:before="260"/>
      </w:pPr>
      <w:bookmarkStart w:name="_Toc34" w:id="34"/>
      <w:r>
        <w:rPr>
          <w:rFonts w:ascii="Calibri" w:eastAsia="SimHei"/>
          <w:b/>
          <w:bCs/>
          <w:color w:val="1C2333"/>
          <w:sz w:val="28"/>
          <w:szCs w:val="28"/>
        </w:rPr>
        <w:t xml:space="preserve">ADR-4 生成 Provider 插件化 + 熔断降级</w:t>
      </w:r>
      <w:bookmarkEnd w:id="34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背景: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演示零依赖与生产质量二选一矛盾。</w:t>
      </w:r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决策: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GeneratorProvider 统一流式接口;默认本地抽取式,配 Key 切 GLM;异常流内回退并落日志。</w:t>
      </w:r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后果: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正:演示/生产同构,可用性有硬底(A1 PASS);负:双实现双份测试。</w:t>
      </w:r>
    </w:p>
    <w:p>
      <w:pPr>
        <w:pStyle w:val="Heading2"/>
        <w:spacing w:after="110" w:before="260"/>
      </w:pPr>
      <w:bookmarkStart w:name="_Toc35" w:id="35"/>
      <w:r>
        <w:rPr>
          <w:rFonts w:ascii="Calibri" w:eastAsia="SimHei"/>
          <w:b/>
          <w:bCs/>
          <w:color w:val="1C2333"/>
          <w:sz w:val="28"/>
          <w:szCs w:val="28"/>
        </w:rPr>
        <w:t xml:space="preserve">ADR-5 内存索引热重建</w:t>
      </w:r>
      <w:bookmarkEnd w:id="35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背景: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知识录入要求免重启生效(&lt;5s)。</w:t>
      </w:r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决策: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摄取服务持锁重建全量索引,版本号递增,前端可见。</w:t>
      </w:r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后果: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正:59 篇/136 chunks 重建 &lt;1s;负:语料巨大时需增量或外置向量库。</w:t>
      </w:r>
    </w:p>
    <w:p>
      <w:pPr>
        <w:pStyle w:val="Heading2"/>
        <w:spacing w:after="110" w:before="260"/>
      </w:pPr>
      <w:bookmarkStart w:name="_Toc36" w:id="36"/>
      <w:r>
        <w:rPr>
          <w:rFonts w:ascii="Calibri" w:eastAsia="SimHei"/>
          <w:b/>
          <w:bCs/>
          <w:color w:val="1C2333"/>
          <w:sz w:val="28"/>
          <w:szCs w:val="28"/>
        </w:rPr>
        <w:t xml:space="preserve">ADR-6 令牌桶入口限流</w:t>
      </w:r>
      <w:bookmarkEnd w:id="36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背景: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突发流量会拖垮生成与外部 API 配额。</w:t>
      </w:r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决策: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单机令牌桶(5 QPS/突发 10,桶字典有界淘汰);生产外置 Redis。</w:t>
      </w:r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后果: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正:A2 精确放行/拒绝;负:多实例需外置共享限流。</w:t>
      </w:r>
    </w:p>
    <w:p>
      <w:pPr>
        <w:pStyle w:val="Heading2"/>
        <w:spacing w:after="110" w:before="260"/>
      </w:pPr>
      <w:bookmarkStart w:name="_Toc37" w:id="37"/>
      <w:r>
        <w:rPr>
          <w:rFonts w:ascii="Calibri" w:eastAsia="SimHei"/>
          <w:b/>
          <w:bCs/>
          <w:color w:val="1C2333"/>
          <w:sz w:val="28"/>
          <w:szCs w:val="28"/>
        </w:rPr>
        <w:t xml:space="preserve">ADR-7 Embedding Provider 可插拔,TF-IDF 为离线 fallback</w:t>
      </w:r>
      <w:bookmarkEnd w:id="37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背景: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语义向量依赖外部服务,课程环境不可假设可用。</w:t>
      </w:r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决策: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auto 工厂:有 Key 用 embedding-3(带缓存),否则 TF-IDF;构建失败回退并如实显示。</w:t>
      </w:r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243050"/>
          <w:sz w:val="24"/>
          <w:szCs w:val="24"/>
        </w:rPr>
        <w:t xml:space="preserve">后果:</w:t>
      </w:r>
      <w:r>
        <w:rPr>
          <w:rFonts w:ascii="Calibri" w:eastAsia="Microsoft YaHei"/>
          <w:b w:val="false"/>
          <w:bCs w:val="false"/>
          <w:color w:val="243050"/>
          <w:sz w:val="24"/>
          <w:szCs w:val="24"/>
        </w:rPr>
        <w:t xml:space="preserve">正:零依赖与语义升级同构;负:TF-IDF 非语义嵌入,须明示(如实原则)。</w:t>
      </w:r>
    </w:p>
    <w:p>
      <w:pPr>
        <w:pStyle w:val="Heading1"/>
        <w:spacing w:after="140" w:before="360"/>
      </w:pPr>
      <w:bookmarkStart w:name="_Toc38" w:id="38"/>
      <w:r>
        <w:rPr>
          <w:rFonts w:ascii="Calibri" w:eastAsia="SimHei"/>
          <w:b/>
          <w:bCs/>
          <w:color w:val="1C2333"/>
          <w:sz w:val="32"/>
          <w:szCs w:val="32"/>
        </w:rPr>
        <w:t xml:space="preserve">10  质量证据与需求追踪</w:t>
      </w:r>
      <w:bookmarkEnd w:id="38"/>
    </w:p>
    <w:p>
      <w:pPr>
        <w:pStyle w:val="Heading2"/>
        <w:spacing w:after="110" w:before="260"/>
      </w:pPr>
      <w:bookmarkStart w:name="_Toc39" w:id="39"/>
      <w:r>
        <w:rPr>
          <w:rFonts w:ascii="Calibri" w:eastAsia="SimHei"/>
          <w:b/>
          <w:bCs/>
          <w:color w:val="1C2333"/>
          <w:sz w:val="28"/>
          <w:szCs w:val="28"/>
        </w:rPr>
        <w:t xml:space="preserve">10.1  检索评测(n=62 口语化改写,统一文档级去重口径)</w:t>
      </w:r>
      <w:bookmarkEnd w:id="39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表 10-1  四路链路评测(2026-10-16 实测)</w:t>
      </w:r>
    </w:p>
    <w:tbl>
      <w:tblPr>
        <w:tblW w:type="pct" w:w="5000"/>
        <w:tblBorders>
          <w:top w:val="single" w:color="3B5BFD" w:sz="4"/>
          <w:left w:val="none" w:color="FFFFFF" w:sz="0"/>
          <w:bottom w:val="single" w:color="3B5BFD" w:sz="4"/>
          <w:right w:val="none" w:color="FFFFFF" w:sz="0"/>
          <w:insideH w:val="single" w:color="D8DEF5" w:sz="1"/>
          <w:insideV w:val="none" w:color="FFFFFF" w:sz="0"/>
        </w:tblBorders>
        <w:tblLayout w:type="fixed"/>
      </w:tblPr>
      <w:tblGrid>
        <w:gridCol w:w="3600"/>
        <w:gridCol w:w="1900"/>
        <w:gridCol w:w="1900"/>
        <w:gridCol w:w="1945"/>
      </w:tblGrid>
      <w:tr>
        <w:trPr>
          <w:cantSplit/>
          <w:tblHeader/>
        </w:trPr>
        <w:tc>
          <w:tcPr>
            <w:tcW w:type="dxa" w:w="36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链路</w:t>
            </w:r>
          </w:p>
        </w:tc>
        <w:tc>
          <w:tcPr>
            <w:tcW w:type="dxa" w:w="19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Hit@1</w:t>
            </w:r>
          </w:p>
        </w:tc>
        <w:tc>
          <w:tcPr>
            <w:tcW w:type="dxa" w:w="19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Hit@3</w:t>
            </w:r>
          </w:p>
        </w:tc>
        <w:tc>
          <w:tcPr>
            <w:tcW w:type="dxa" w:w="1945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MRR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BM25-only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80.6%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98.4%</w:t>
            </w:r>
          </w:p>
        </w:tc>
        <w:tc>
          <w:tcPr>
            <w:tcW w:type="dxa" w:w="1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0.884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Vector-only(TF-IDF)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75.8%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93.5%</w:t>
            </w:r>
          </w:p>
        </w:tc>
        <w:tc>
          <w:tcPr>
            <w:tcW w:type="dxa" w:w="1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0.844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Hybrid+RRF(生产默认)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80.6%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98.4%</w:t>
            </w:r>
          </w:p>
        </w:tc>
        <w:tc>
          <w:tcPr>
            <w:tcW w:type="dxa" w:w="1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0.882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Hybrid+Rerank(实验开关)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77.4%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96.8%</w:t>
            </w:r>
          </w:p>
        </w:tc>
        <w:tc>
          <w:tcPr>
            <w:tcW w:type="dxa" w:w="1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0.860</w:t>
            </w:r>
          </w:p>
        </w:tc>
      </w:tr>
    </w:tbl>
    <w:p>
      <w:pPr>
        <w:pStyle w:val="Heading2"/>
        <w:spacing w:after="110" w:before="260"/>
      </w:pPr>
      <w:bookmarkStart w:name="_Toc40" w:id="40"/>
      <w:r>
        <w:rPr>
          <w:rFonts w:ascii="Calibri" w:eastAsia="SimHei"/>
          <w:b/>
          <w:bCs/>
          <w:color w:val="1C2333"/>
          <w:sz w:val="28"/>
          <w:szCs w:val="28"/>
        </w:rPr>
        <w:t xml:space="preserve">10.2  性能基准与架构验收</w:t>
      </w:r>
      <w:bookmarkEnd w:id="40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表 10-2  性能基准(拆分口径)</w:t>
      </w:r>
    </w:p>
    <w:tbl>
      <w:tblPr>
        <w:tblW w:type="pct" w:w="5000"/>
        <w:tblBorders>
          <w:top w:val="single" w:color="3B5BFD" w:sz="4"/>
          <w:left w:val="none" w:color="FFFFFF" w:sz="0"/>
          <w:bottom w:val="single" w:color="3B5BFD" w:sz="4"/>
          <w:right w:val="none" w:color="FFFFFF" w:sz="0"/>
          <w:insideH w:val="single" w:color="D8DEF5" w:sz="1"/>
          <w:insideV w:val="none" w:color="FFFFFF" w:sz="0"/>
        </w:tblBorders>
        <w:tblLayout w:type="fixed"/>
      </w:tblPr>
      <w:tblGrid>
        <w:gridCol w:w="3300"/>
        <w:gridCol w:w="1500"/>
        <w:gridCol w:w="1200"/>
        <w:gridCol w:w="1200"/>
        <w:gridCol w:w="1200"/>
        <w:gridCol w:w="945"/>
      </w:tblGrid>
      <w:tr>
        <w:trPr>
          <w:cantSplit/>
          <w:tblHeader/>
        </w:trPr>
        <w:tc>
          <w:tcPr>
            <w:tcW w:type="dxa" w:w="33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基准</w:t>
            </w:r>
          </w:p>
        </w:tc>
        <w:tc>
          <w:tcPr>
            <w:tcW w:type="dxa" w:w="15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QPS</w:t>
            </w:r>
          </w:p>
        </w:tc>
        <w:tc>
          <w:tcPr>
            <w:tcW w:type="dxa" w:w="12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p50</w:t>
            </w:r>
          </w:p>
        </w:tc>
        <w:tc>
          <w:tcPr>
            <w:tcW w:type="dxa" w:w="12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p95</w:t>
            </w:r>
          </w:p>
        </w:tc>
        <w:tc>
          <w:tcPr>
            <w:tcW w:type="dxa" w:w="12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p99</w:t>
            </w:r>
          </w:p>
        </w:tc>
        <w:tc>
          <w:tcPr>
            <w:tcW w:type="dxa" w:w="945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失败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retrieval-only(RRF,Win/x64 两次实测)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515.8-880.4</w:t>
            </w:r>
          </w:p>
        </w:tc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1.1-1.9ms</w:t>
            </w:r>
          </w:p>
        </w:tc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1.8-3.2ms</w:t>
            </w:r>
          </w:p>
        </w:tc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2.1-3.7ms</w:t>
            </w:r>
          </w:p>
        </w:tc>
        <w:tc>
          <w:tcPr>
            <w:tcW w:type="dxa" w:w="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E2E 并发 20(含生成+落库)</w:t>
            </w:r>
          </w:p>
        </w:tc>
        <w:tc>
          <w:tcPr>
            <w:tcW w:type="dxa" w:w="15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42.1-43.3</w:t>
            </w:r>
          </w:p>
        </w:tc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413-425ms</w:t>
            </w:r>
          </w:p>
        </w:tc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628-647ms</w:t>
            </w:r>
          </w:p>
        </w:tc>
        <w:tc>
          <w:tcPr>
            <w:tcW w:type="dxa" w:w="12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727-761ms</w:t>
            </w:r>
          </w:p>
        </w:tc>
        <w:tc>
          <w:tcPr>
            <w:tcW w:type="dxa" w:w="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0</w:t>
            </w:r>
          </w:p>
        </w:tc>
      </w:tr>
    </w:tbl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架构验收 4/4 PASS:A1 生成降级(139 字正解)/ A2 入口限流(200x10+429x5)/ A3 热更新(版本递增)/ A4 无知识兜底(sources=0)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单元测试 14/14(冒烟 4 + 回归 10:RRF 公式、倒排等价、鉴权、桶淘汰、删除语义、降级日志、会话属主隔离等)</w:t>
      </w:r>
    </w:p>
    <w:p>
      <w:pPr>
        <w:pStyle w:val="Heading2"/>
        <w:spacing w:after="110" w:before="260"/>
      </w:pPr>
      <w:bookmarkStart w:name="_Toc41" w:id="41"/>
      <w:r>
        <w:rPr>
          <w:rFonts w:ascii="Calibri" w:eastAsia="SimHei"/>
          <w:b/>
          <w:bCs/>
          <w:color w:val="1C2333"/>
          <w:sz w:val="28"/>
          <w:szCs w:val="28"/>
        </w:rPr>
        <w:t xml:space="preserve">10.3  追踪矩阵</w:t>
      </w:r>
      <w:bookmarkEnd w:id="41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需求 → 质量属性 → ADR → 模块 → 测试 → 证据的完整映射维护于仓库 docs/traceability.md(含 2026-10-16 完善轮 F1-F9 与 2026-10-27 F10 会话越权修复行,见 docs/IMPROVEMENTS.md)。本文档与《SRS》《UI 原型》共同构成课程交付物;仓库 github.com/yelikour/campus-qa(公开)。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5A647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5A647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F5" w:sz="2"/>
      </w:pBdr>
      <w:jc w:val="right"/>
    </w:pPr>
    <w:r>
      <w:rPr>
        <w:rFonts w:ascii="Calibri" w:eastAsia="Microsoft YaHei"/>
        <w:color w:val="5A6478"/>
        <w:sz w:val="16"/>
        <w:szCs w:val="16"/>
      </w:rPr>
      <w:t xml:space="preserve">智问校园 CampusMind · 设计与架构文档(SDD+SAD)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4305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b1ba3d187904ebadf3304b8db66fe0d77f2fe31f.png"/><Relationship Id="rId11" Type="http://schemas.openxmlformats.org/officeDocument/2006/relationships/image" Target="media/61abebc1a933ae5f665abcb06b38aa2935854dc8.png"/><Relationship Id="rId12" Type="http://schemas.openxmlformats.org/officeDocument/2006/relationships/image" Target="media/6bffab7a4be744b28cb3c888acb8a2ee7fd35f5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2026-10-27T14:35:45.038Z</dcterms:created>
  <dcterms:modified xsi:type="dcterms:W3CDTF">2026-10-27T14:35:45.040Z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