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onsolas" w:hAnsi="Consolas" w:eastAsia="Consolas"/>
          <w:b/>
          <w:i w:val="0"/>
          <w:color w:val="8C5F0C"/>
          <w:sz w:val="17"/>
        </w:rPr>
        <w:t>PORTFOLIO — RISK ENGINEERING / ANTI-MONEY LAUNDERING</w:t>
      </w:r>
    </w:p>
    <w:p>
      <w:pPr>
        <w:spacing w:after="60" w:before="40"/>
      </w:pPr>
      <w:r>
        <w:rPr>
          <w:rFonts w:ascii="맑은 고딕" w:hAnsi="맑은 고딕" w:eastAsia="맑은 고딕"/>
          <w:b/>
          <w:i w:val="0"/>
          <w:color w:val="1A1815"/>
          <w:sz w:val="60"/>
        </w:rPr>
        <w:t>TRACE-X</w:t>
      </w:r>
    </w:p>
    <w:p>
      <w:pPr>
        <w:spacing w:after="200" w:before="0" w:line="298" w:lineRule="auto"/>
      </w:pPr>
      <w:r>
        <w:rPr>
          <w:rFonts w:ascii="맑은 고딕" w:hAnsi="맑은 고딕" w:eastAsia="맑은 고딕"/>
          <w:b w:val="0"/>
          <w:i w:val="0"/>
          <w:color w:val="5B584E"/>
          <w:sz w:val="19"/>
        </w:rPr>
        <w:t xml:space="preserve">블록체인 주소 자금세탁(AML) 리스크 스코어링 엔진. </w:t>
      </w:r>
      <w:r>
        <w:rPr>
          <w:rFonts w:ascii="맑은 고딕" w:hAnsi="맑은 고딕" w:eastAsia="맑은 고딕"/>
          <w:b/>
          <w:i w:val="0"/>
          <w:color w:val="1A1815"/>
          <w:sz w:val="19"/>
        </w:rPr>
        <w:t>정확도보다 “왜 이렇게 판단했는가”를 설계 1단계부터 목표로 삼아</w:t>
      </w:r>
      <w:r>
        <w:rPr>
          <w:rFonts w:ascii="맑은 고딕" w:hAnsi="맑은 고딕" w:eastAsia="맑은 고딕"/>
          <w:b w:val="0"/>
          <w:i w:val="0"/>
          <w:color w:val="5B584E"/>
          <w:sz w:val="19"/>
        </w:rPr>
        <w:t xml:space="preserve"> 구축했다. 재보험을 포함한 규제 산업에서는 리스크 평가 결과 자체보다 그 근거가 감사·보고 가능해야 한다는 문제의식에서 출발해, 룰 기반 로직과 머신러닝의 역할을 처음부터 분리하고 판단 근거를 모든 응답에 함께 반환하는 이중 트랙 구조로 설계했다. 아래는 문제 인식부터 결론까지, 실제로 진행한 순서 그대로의 기록이다.</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F3E7C7"/>
          </w:tcPr>
          <w:p>
            <w:pPr>
              <w:jc w:val="center"/>
            </w:pPr>
            <w:r>
              <w:rPr>
                <w:rFonts w:ascii="Consolas" w:hAnsi="Consolas" w:eastAsia="Consolas"/>
                <w:b/>
                <w:i w:val="0"/>
                <w:color w:val="6E4A08"/>
                <w:sz w:val="15"/>
              </w:rPr>
              <w:t>ACCURACY</w:t>
            </w:r>
          </w:p>
        </w:tc>
        <w:tc>
          <w:tcPr>
            <w:tcW w:type="dxa" w:w="1928"/>
            <w:shd w:val="clear" w:color="auto" w:fill="F3E7C7"/>
          </w:tcPr>
          <w:p>
            <w:pPr>
              <w:jc w:val="center"/>
            </w:pPr>
            <w:r>
              <w:rPr>
                <w:rFonts w:ascii="Consolas" w:hAnsi="Consolas" w:eastAsia="Consolas"/>
                <w:b/>
                <w:i w:val="0"/>
                <w:color w:val="6E4A08"/>
                <w:sz w:val="15"/>
              </w:rPr>
              <w:t>PRECISION</w:t>
            </w:r>
          </w:p>
        </w:tc>
        <w:tc>
          <w:tcPr>
            <w:tcW w:type="dxa" w:w="1928"/>
            <w:shd w:val="clear" w:color="auto" w:fill="F3E7C7"/>
          </w:tcPr>
          <w:p>
            <w:pPr>
              <w:jc w:val="center"/>
            </w:pPr>
            <w:r>
              <w:rPr>
                <w:rFonts w:ascii="Consolas" w:hAnsi="Consolas" w:eastAsia="Consolas"/>
                <w:b/>
                <w:i w:val="0"/>
                <w:color w:val="6E4A08"/>
                <w:sz w:val="15"/>
              </w:rPr>
              <w:t>RECALL</w:t>
            </w:r>
          </w:p>
        </w:tc>
        <w:tc>
          <w:tcPr>
            <w:tcW w:type="dxa" w:w="1928"/>
            <w:shd w:val="clear" w:color="auto" w:fill="F3E7C7"/>
          </w:tcPr>
          <w:p>
            <w:pPr>
              <w:jc w:val="center"/>
            </w:pPr>
            <w:r>
              <w:rPr>
                <w:rFonts w:ascii="Consolas" w:hAnsi="Consolas" w:eastAsia="Consolas"/>
                <w:b/>
                <w:i w:val="0"/>
                <w:color w:val="6E4A08"/>
                <w:sz w:val="15"/>
              </w:rPr>
              <w:t>ROC-AUC</w:t>
            </w:r>
          </w:p>
        </w:tc>
        <w:tc>
          <w:tcPr>
            <w:tcW w:type="dxa" w:w="1928"/>
            <w:shd w:val="clear" w:color="auto" w:fill="F3E7C7"/>
          </w:tcPr>
          <w:p>
            <w:pPr>
              <w:jc w:val="center"/>
            </w:pPr>
            <w:r>
              <w:rPr>
                <w:rFonts w:ascii="Consolas" w:hAnsi="Consolas" w:eastAsia="Consolas"/>
                <w:b/>
                <w:i w:val="0"/>
                <w:color w:val="6E4A08"/>
                <w:sz w:val="15"/>
              </w:rPr>
              <w:t>PR-AUC</w:t>
            </w:r>
          </w:p>
        </w:tc>
      </w:tr>
      <w:tr>
        <w:tc>
          <w:tcPr>
            <w:tcW w:type="dxa" w:w="1928"/>
          </w:tcPr>
          <w:p>
            <w:pPr>
              <w:jc w:val="center"/>
            </w:pPr>
            <w:r>
              <w:rPr>
                <w:rFonts w:ascii="Consolas" w:hAnsi="Consolas" w:eastAsia="Consolas"/>
                <w:b/>
                <w:i w:val="0"/>
                <w:color w:val="1A1815"/>
                <w:sz w:val="34"/>
              </w:rPr>
              <w:t>97.0</w:t>
            </w:r>
          </w:p>
        </w:tc>
        <w:tc>
          <w:tcPr>
            <w:tcW w:type="dxa" w:w="1928"/>
          </w:tcPr>
          <w:p>
            <w:pPr>
              <w:jc w:val="center"/>
            </w:pPr>
            <w:r>
              <w:rPr>
                <w:rFonts w:ascii="Consolas" w:hAnsi="Consolas" w:eastAsia="Consolas"/>
                <w:b/>
                <w:i w:val="0"/>
                <w:color w:val="1A1815"/>
                <w:sz w:val="34"/>
              </w:rPr>
              <w:t>93.0</w:t>
            </w:r>
          </w:p>
        </w:tc>
        <w:tc>
          <w:tcPr>
            <w:tcW w:type="dxa" w:w="1928"/>
          </w:tcPr>
          <w:p>
            <w:pPr>
              <w:jc w:val="center"/>
            </w:pPr>
            <w:r>
              <w:rPr>
                <w:rFonts w:ascii="Consolas" w:hAnsi="Consolas" w:eastAsia="Consolas"/>
                <w:b/>
                <w:i w:val="0"/>
                <w:color w:val="1A1815"/>
                <w:sz w:val="34"/>
              </w:rPr>
              <w:t>90.9</w:t>
            </w:r>
          </w:p>
        </w:tc>
        <w:tc>
          <w:tcPr>
            <w:tcW w:type="dxa" w:w="1928"/>
          </w:tcPr>
          <w:p>
            <w:pPr>
              <w:jc w:val="center"/>
            </w:pPr>
            <w:r>
              <w:rPr>
                <w:rFonts w:ascii="Consolas" w:hAnsi="Consolas" w:eastAsia="Consolas"/>
                <w:b/>
                <w:i w:val="0"/>
                <w:color w:val="1A1815"/>
                <w:sz w:val="34"/>
              </w:rPr>
              <w:t>99.3</w:t>
            </w:r>
          </w:p>
        </w:tc>
        <w:tc>
          <w:tcPr>
            <w:tcW w:type="dxa" w:w="1928"/>
          </w:tcPr>
          <w:p>
            <w:pPr>
              <w:jc w:val="center"/>
            </w:pPr>
            <w:r>
              <w:rPr>
                <w:rFonts w:ascii="Consolas" w:hAnsi="Consolas" w:eastAsia="Consolas"/>
                <w:b/>
                <w:i w:val="0"/>
                <w:color w:val="1A1815"/>
                <w:sz w:val="34"/>
              </w:rPr>
              <w:t>97.3</w:t>
            </w:r>
          </w:p>
        </w:tc>
      </w:tr>
    </w:tbl>
    <w:p>
      <w:pPr>
        <w:spacing w:after="200" w:before="0" w:line="298" w:lineRule="auto"/>
        <w:jc w:val="center"/>
      </w:pPr>
      <w:r>
        <w:rPr>
          <w:rFonts w:ascii="맑은 고딕" w:hAnsi="맑은 고딕" w:eastAsia="맑은 고딕"/>
          <w:b w:val="0"/>
          <w:i/>
          <w:color w:val="8A8577"/>
          <w:sz w:val="16"/>
        </w:rPr>
        <w:t>held-out 평가 세트(926개, 최초·유일 1회 평가) 기준</w:t>
      </w:r>
    </w:p>
    <w:p>
      <w:pPr>
        <w:spacing w:before="0" w:after="60"/>
        <w:pBdr>
          <w:bottom w:val="single" w:sz="5" w:space="2" w:color="DDD8C6"/>
        </w:pBdr>
      </w:pPr>
      <w:r>
        <w:rPr>
          <w:rFonts w:ascii="Consolas" w:hAnsi="Consolas" w:eastAsia="Consolas"/>
          <w:b/>
          <w:i w:val="0"/>
          <w:color w:val="8C5F0C"/>
          <w:sz w:val="24"/>
        </w:rPr>
        <w:t xml:space="preserve">01  </w:t>
      </w:r>
      <w:r>
        <w:rPr>
          <w:rFonts w:ascii="맑은 고딕" w:hAnsi="맑은 고딕" w:eastAsia="맑은 고딕"/>
          <w:b/>
          <w:i w:val="0"/>
          <w:color w:val="1A1815"/>
          <w:sz w:val="27"/>
        </w:rPr>
        <w:t>문제 정의</w:t>
      </w:r>
    </w:p>
    <w:p>
      <w:pPr>
        <w:spacing w:after="160" w:before="0" w:line="298" w:lineRule="auto"/>
      </w:pPr>
      <w:r>
        <w:rPr>
          <w:rFonts w:ascii="맑은 고딕" w:hAnsi="맑은 고딕" w:eastAsia="맑은 고딕"/>
          <w:b w:val="0"/>
          <w:i w:val="0"/>
          <w:color w:val="5B584E"/>
          <w:sz w:val="19"/>
        </w:rPr>
        <w:t xml:space="preserve">규제 산업에서는 정확도와 설명 가능성이 트레이드오프 관계가 아니라 </w:t>
      </w:r>
      <w:r>
        <w:rPr>
          <w:rFonts w:ascii="맑은 고딕" w:hAnsi="맑은 고딕" w:eastAsia="맑은 고딕"/>
          <w:b/>
          <w:i w:val="0"/>
          <w:color w:val="1A1815"/>
          <w:sz w:val="19"/>
        </w:rPr>
        <w:t>동시에 충족해야 하는 요구사항</w:t>
      </w:r>
      <w:r>
        <w:rPr>
          <w:rFonts w:ascii="맑은 고딕" w:hAnsi="맑은 고딕" w:eastAsia="맑은 고딕"/>
          <w:b w:val="0"/>
          <w:i w:val="0"/>
          <w:color w:val="5B584E"/>
          <w:sz w:val="19"/>
        </w:rPr>
        <w:t>이라는 전제에서 출발했다. 리스크 평가는 결과 자체보다 “왜 이 판단에 도달했는가”가 감사·보고의 대상이 되고, 자금세탁 의심 사례를 규제 당국에 보고할 때는 판단 근거가 특정 법 조항에 연결될 수 있어야 한다. 반면 룰 신호를 머신러닝 피처로 섞어 하나의 점수로 blending하는 설계는 정확도는 높일 수 있어도 “이 점수가 왜 나왔는지”를 역추적할 수 없다는 근본적 한계가 있다.</w:t>
      </w:r>
    </w:p>
    <w:p>
      <w:pPr>
        <w:spacing w:after="160" w:before="0" w:line="298" w:lineRule="auto"/>
      </w:pPr>
      <w:r>
        <w:rPr>
          <w:rFonts w:ascii="맑은 고딕" w:hAnsi="맑은 고딕" w:eastAsia="맑은 고딕"/>
          <w:b w:val="0"/>
          <w:i w:val="0"/>
          <w:color w:val="5B584E"/>
          <w:sz w:val="19"/>
        </w:rPr>
        <w:t xml:space="preserve">그래서 이 프로젝트의 1차 목표는 “정확도를 올리는 것”이 아니라 </w:t>
      </w:r>
      <w:r>
        <w:rPr>
          <w:rFonts w:ascii="맑은 고딕" w:hAnsi="맑은 고딕" w:eastAsia="맑은 고딕"/>
          <w:b/>
          <w:i w:val="0"/>
          <w:color w:val="1A1815"/>
          <w:sz w:val="19"/>
        </w:rPr>
        <w:t>“판단 근거 자체를 산출물로 설계하는 것”</w:t>
      </w:r>
      <w:r>
        <w:rPr>
          <w:rFonts w:ascii="맑은 고딕" w:hAnsi="맑은 고딕" w:eastAsia="맑은 고딕"/>
          <w:b w:val="0"/>
          <w:i w:val="0"/>
          <w:color w:val="5B584E"/>
          <w:sz w:val="19"/>
        </w:rPr>
        <w:t>이었다 — 룰과 ML을 처음부터 분리된 트랙으로 만들고, 최종 결과는 두 트랙을 합치지 않은 채 나란히 반환하는 아키텍처를 설계 초기에 확정했다. 이 원칙은 이후 모든 단계의 의사결정 기준이 됐다.</w:t>
      </w:r>
    </w:p>
    <w:p>
      <w:pPr>
        <w:spacing w:before="80" w:after="40" w:line="288" w:lineRule="auto"/>
      </w:pPr>
      <w:r>
        <w:rPr>
          <w:rFonts w:ascii="맑은 고딕" w:hAnsi="맑은 고딕" w:eastAsia="맑은 고딕"/>
          <w:b w:val="0"/>
          <w:i/>
          <w:color w:val="6E4A08"/>
          <w:sz w:val="17"/>
        </w:rPr>
        <w:t>↳ 이 원칙을 실제로 지키려면, 무엇보다 먼저 신뢰할 수 있는 라벨이 있어야 했다.</w:t>
      </w:r>
    </w:p>
    <w:p>
      <w:pPr>
        <w:spacing w:before="320" w:after="60"/>
        <w:pBdr>
          <w:bottom w:val="single" w:sz="5" w:space="2" w:color="DDD8C6"/>
        </w:pBdr>
      </w:pPr>
      <w:r>
        <w:rPr>
          <w:rFonts w:ascii="Consolas" w:hAnsi="Consolas" w:eastAsia="Consolas"/>
          <w:b/>
          <w:i w:val="0"/>
          <w:color w:val="8C5F0C"/>
          <w:sz w:val="24"/>
        </w:rPr>
        <w:t xml:space="preserve">02  </w:t>
      </w:r>
      <w:r>
        <w:rPr>
          <w:rFonts w:ascii="맑은 고딕" w:hAnsi="맑은 고딕" w:eastAsia="맑은 고딕"/>
          <w:b/>
          <w:i w:val="0"/>
          <w:color w:val="1A1815"/>
          <w:sz w:val="27"/>
        </w:rPr>
        <w:t>데이터 수집 및 라벨 정의</w:t>
      </w:r>
    </w:p>
    <w:p>
      <w:pPr>
        <w:spacing w:after="160" w:before="0" w:line="298" w:lineRule="auto"/>
      </w:pPr>
      <w:r>
        <w:rPr>
          <w:rFonts w:ascii="맑은 고딕" w:hAnsi="맑은 고딕" w:eastAsia="맑은 고딕"/>
          <w:b w:val="0"/>
          <w:i w:val="0"/>
          <w:color w:val="5B584E"/>
          <w:sz w:val="19"/>
        </w:rPr>
        <w:t>라벨링된 이더리움 거래 데이터를 확보하는 것과, 그 데이터를 “사기/정상”이라는 이진 문제에 맞는 신뢰할 수 있는 라벨로 다시 정의하는 것은 다른 문제였다. 공개적으로 검증된 정답이 없는 상태에서, 라벨 기준 자체를 직접 수립해야 했다.</w:t>
      </w:r>
    </w:p>
    <w:p>
      <w:pPr>
        <w:spacing w:before="180" w:after="40"/>
      </w:pPr>
      <w:r>
        <w:rPr>
          <w:rFonts w:ascii="맑은 고딕" w:hAnsi="맑은 고딕" w:eastAsia="맑은 고딕"/>
          <w:b/>
          <w:i w:val="0"/>
          <w:color w:val="6E4A08"/>
          <w:sz w:val="20"/>
        </w:rPr>
        <w:t>확정 사기 — Etherscan 공개 신고 태그를 기준으로 채택</w:t>
      </w:r>
    </w:p>
    <w:p>
      <w:pPr>
        <w:spacing w:after="160" w:before="0" w:line="298" w:lineRule="auto"/>
      </w:pPr>
      <w:r>
        <w:rPr>
          <w:rFonts w:ascii="맑은 고딕" w:hAnsi="맑은 고딕" w:eastAsia="맑은 고딕"/>
          <w:b w:val="0"/>
          <w:i w:val="0"/>
          <w:color w:val="5B584E"/>
          <w:sz w:val="19"/>
        </w:rPr>
        <w:t xml:space="preserve">자체적으로 사기 여부를 추정하는 대신, </w:t>
      </w:r>
      <w:r>
        <w:rPr>
          <w:rFonts w:ascii="맑은 고딕" w:hAnsi="맑은 고딕" w:eastAsia="맑은 고딕"/>
          <w:b/>
          <w:i w:val="0"/>
          <w:color w:val="1A1815"/>
          <w:sz w:val="19"/>
        </w:rPr>
        <w:t>Etherscan의 공개 피싱 신고 태그</w:t>
      </w:r>
      <w:r>
        <w:rPr>
          <w:rFonts w:ascii="맑은 고딕" w:hAnsi="맑은 고딕" w:eastAsia="맑은 고딕"/>
          <w:b w:val="0"/>
          <w:i w:val="0"/>
          <w:color w:val="5B584E"/>
          <w:sz w:val="19"/>
        </w:rPr>
        <w:t>(커뮤니티가 신고하고 운영진이 검토해 공개하는 phish-hack 태그)처럼 이미 공개적으로 신고·검증된 주소만 “확정 사기”로 삼는 쪽을 택했다 — 라벨의 신뢰도가 이후 모든 결과의 신뢰도를 결정하기 때문이다.</w:t>
      </w:r>
    </w:p>
    <w:p>
      <w:pPr>
        <w:spacing w:before="180" w:after="40"/>
      </w:pPr>
      <w:r>
        <w:rPr>
          <w:rFonts w:ascii="맑은 고딕" w:hAnsi="맑은 고딕" w:eastAsia="맑은 고딕"/>
          <w:b/>
          <w:i w:val="0"/>
          <w:color w:val="6E4A08"/>
          <w:sz w:val="20"/>
        </w:rPr>
        <w:t>정상 표본 — 애매한 카테고리를 의도적으로 배제</w:t>
      </w:r>
    </w:p>
    <w:p>
      <w:pPr>
        <w:spacing w:after="160" w:before="0" w:line="298" w:lineRule="auto"/>
      </w:pPr>
      <w:r>
        <w:rPr>
          <w:rFonts w:ascii="맑은 고딕" w:hAnsi="맑은 고딕" w:eastAsia="맑은 고딕"/>
          <w:b w:val="0"/>
          <w:i w:val="0"/>
          <w:color w:val="5B584E"/>
          <w:sz w:val="19"/>
        </w:rPr>
        <w:t>정상 라벨 구성은 더 까다로웠다. 단순 무작위 샘플링은 “아직 신고되지 않았을 뿐인 위험 주소”가 섞여 들어올 위험이 있다. 그래서 명확히 합법적인 카테고리(대형 거래소, 검증된 DeFi 프로토콜, 비영리 단체 등)만 정상 표본으로 선별하고, 추출적 행위나 파밍 행위처럼 “완전히 합법도 완전히 사기도 아닌” 회색지대 카테고리는 라벨 신뢰도를 해칠 수 있다고 판단해 의도적으로 배제했다.</w:t>
      </w:r>
    </w:p>
    <w:p>
      <w:pPr>
        <w:spacing w:after="160" w:before="0" w:line="298" w:lineRule="auto"/>
      </w:pPr>
      <w:r>
        <w:rPr>
          <w:rFonts w:ascii="맑은 고딕" w:hAnsi="맑은 고딕" w:eastAsia="맑은 고딕"/>
          <w:b w:val="0"/>
          <w:i w:val="0"/>
          <w:color w:val="5B584E"/>
          <w:sz w:val="19"/>
        </w:rPr>
        <w:t xml:space="preserve">이렇게 구성한 데이터는 사기 확정 주소 전체와 정상 표본을 합쳐 </w:t>
      </w:r>
      <w:r>
        <w:rPr>
          <w:rFonts w:ascii="맑은 고딕" w:hAnsi="맑은 고딕" w:eastAsia="맑은 고딕"/>
          <w:b/>
          <w:i w:val="0"/>
          <w:color w:val="6E4A08"/>
          <w:sz w:val="19"/>
        </w:rPr>
        <w:t>6,165개 주소</w:t>
      </w:r>
      <w:r>
        <w:rPr>
          <w:rFonts w:ascii="맑은 고딕" w:hAnsi="맑은 고딕" w:eastAsia="맑은 고딕"/>
          <w:b w:val="0"/>
          <w:i w:val="0"/>
          <w:color w:val="5B584E"/>
          <w:sz w:val="19"/>
        </w:rPr>
        <w:t>(사기 1,165 · 정상 5,000, 사기 비율 18.9%)였다. 이는 실제 운영 환경의 자연 발생 비율과 다른 인위적 구성이므로, 이후 지표는 “실서비스 정확도”가 아니라 “룰/ML의 상대적 판별력 비교”로 해석해야 한다는 점을 처음부터 문서에 명시했다.</w:t>
      </w:r>
    </w:p>
    <w:p>
      <w:pPr>
        <w:spacing w:before="80" w:after="40" w:line="288" w:lineRule="auto"/>
      </w:pPr>
      <w:r>
        <w:rPr>
          <w:rFonts w:ascii="맑은 고딕" w:hAnsi="맑은 고딕" w:eastAsia="맑은 고딕"/>
          <w:b w:val="0"/>
          <w:i/>
          <w:color w:val="6E4A08"/>
          <w:sz w:val="17"/>
        </w:rPr>
        <w:t>↳ 라벨을 확보한 뒤에는, 그 라벨이 실제로 통계적으로 구분되는 대상을 가리키는지부터 확인해야 했다.</w:t>
      </w:r>
    </w:p>
    <w:p>
      <w:pPr>
        <w:spacing w:before="320" w:after="60"/>
        <w:pBdr>
          <w:bottom w:val="single" w:sz="5" w:space="2" w:color="DDD8C6"/>
        </w:pBdr>
      </w:pPr>
      <w:r>
        <w:rPr>
          <w:rFonts w:ascii="Consolas" w:hAnsi="Consolas" w:eastAsia="Consolas"/>
          <w:b/>
          <w:i w:val="0"/>
          <w:color w:val="8C5F0C"/>
          <w:sz w:val="24"/>
        </w:rPr>
        <w:t xml:space="preserve">03  </w:t>
      </w:r>
      <w:r>
        <w:rPr>
          <w:rFonts w:ascii="맑은 고딕" w:hAnsi="맑은 고딕" w:eastAsia="맑은 고딕"/>
          <w:b/>
          <w:i w:val="0"/>
          <w:color w:val="1A1815"/>
          <w:sz w:val="27"/>
        </w:rPr>
        <w:t>EDA / 데이터 품질 점검</w:t>
      </w:r>
    </w:p>
    <w:p>
      <w:pPr>
        <w:spacing w:after="160" w:before="0" w:line="298" w:lineRule="auto"/>
      </w:pPr>
      <w:r>
        <w:rPr>
          <w:rFonts w:ascii="맑은 고딕" w:hAnsi="맑은 고딕" w:eastAsia="맑은 고딕"/>
          <w:b w:val="0"/>
          <w:i w:val="0"/>
          <w:color w:val="5B584E"/>
          <w:sz w:val="19"/>
        </w:rPr>
        <w:t>모델을 설계하기 전에 정상 주소와 사기 주소가 실제로 다른 통계·행동 패턴을 보이는지 확인 없이는 다음 단계로 넘어가지 않는다는 원칙을 세웠다.</w:t>
      </w:r>
    </w:p>
    <w:tbl>
      <w:tblPr>
        <w:tblW w:type="auto" w:w="0"/>
        <w:jc w:val="center"/>
        <w:tblLook w:firstColumn="1" w:firstRow="1" w:lastColumn="0" w:lastRow="0" w:noHBand="0" w:noVBand="1" w:val="04A0"/>
      </w:tblPr>
      <w:tblGrid>
        <w:gridCol w:w="2409"/>
        <w:gridCol w:w="2409"/>
        <w:gridCol w:w="2409"/>
        <w:gridCol w:w="2409"/>
      </w:tblGrid>
      <w:tr>
        <w:tc>
          <w:tcPr>
            <w:tcW w:type="dxa" w:w="2409"/>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지표</w:t>
            </w:r>
          </w:p>
        </w:tc>
        <w:tc>
          <w:tcPr>
            <w:tcW w:type="dxa" w:w="2409"/>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사기 (중앙값)</w:t>
            </w:r>
          </w:p>
        </w:tc>
        <w:tc>
          <w:tcPr>
            <w:tcW w:type="dxa" w:w="2409"/>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정상 (중앙값)</w:t>
            </w:r>
          </w:p>
        </w:tc>
        <w:tc>
          <w:tcPr>
            <w:tcW w:type="dxa" w:w="2409"/>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해석</w:t>
            </w:r>
          </w:p>
        </w:tc>
      </w:tr>
      <w:tr>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i w:val="0"/>
                <w:color w:val="1A1815"/>
                <w:sz w:val="17"/>
              </w:rPr>
              <w:t>자금 집중 유입 (fan-in)</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7</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0</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사기 주소는 여러 곳에서 자금이 모이는 경향</w:t>
            </w:r>
          </w:p>
        </w:tc>
      </w:tr>
      <w:tr>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i w:val="0"/>
                <w:color w:val="1A1815"/>
                <w:sz w:val="17"/>
              </w:rPr>
              <w:t>연결 네트워크 크기</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11</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2</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사기 주소는 관련 주소 수가 더 많음</w:t>
            </w:r>
          </w:p>
        </w:tc>
      </w:tr>
      <w:tr>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i w:val="0"/>
                <w:color w:val="1A1815"/>
                <w:sz w:val="17"/>
              </w:rPr>
              <w:t>실제 거래 건수</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15</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1</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정상 주소 상당수가 사실상 비활성 상태</w:t>
            </w:r>
          </w:p>
        </w:tc>
      </w:tr>
      <w:tr>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i w:val="0"/>
                <w:color w:val="1A1815"/>
                <w:sz w:val="17"/>
              </w:rPr>
              <w:t>정상 패턴 유사도 점수</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35</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100</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역방향 — 사기 주소가 오히려 더 낮음(예상과 일치)</w:t>
            </w:r>
          </w:p>
        </w:tc>
      </w:tr>
    </w:tbl>
    <w:p>
      <w:pPr>
        <w:spacing w:after="160" w:before="0" w:line="298" w:lineRule="auto"/>
      </w:pPr>
      <w:r>
        <w:rPr>
          <w:rFonts w:ascii="맑은 고딕" w:hAnsi="맑은 고딕" w:eastAsia="맑은 고딕"/>
          <w:b w:val="0"/>
          <w:i w:val="0"/>
          <w:color w:val="5B584E"/>
          <w:sz w:val="19"/>
        </w:rPr>
        <w:t xml:space="preserve">가장 특이했던 발견은 </w:t>
      </w:r>
      <w:r>
        <w:rPr>
          <w:rFonts w:ascii="맑은 고딕" w:hAnsi="맑은 고딕" w:eastAsia="맑은 고딕"/>
          <w:b/>
          <w:i w:val="0"/>
          <w:color w:val="1A1815"/>
          <w:sz w:val="19"/>
        </w:rPr>
        <w:t>정상 라벨의 43.7%가 거래 0건인 빈 계정</w:t>
      </w:r>
      <w:r>
        <w:rPr>
          <w:rFonts w:ascii="맑은 고딕" w:hAnsi="맑은 고딕" w:eastAsia="맑은 고딕"/>
          <w:b w:val="0"/>
          <w:i w:val="0"/>
          <w:color w:val="5B584E"/>
          <w:sz w:val="19"/>
        </w:rPr>
        <w:t>이라는 점이었다 — 거래 기반 피처가 정상 표본 절반 가까이에서 아무 정보도 주지 못한다는 뜻이라, 이후 피처 설계와 모델의 결측치 처리 방식(6단계)에 그대로 반영했다.</w:t>
      </w:r>
    </w:p>
    <w:p>
      <w:pPr>
        <w:spacing w:before="80" w:after="40" w:line="288" w:lineRule="auto"/>
      </w:pPr>
      <w:r>
        <w:rPr>
          <w:rFonts w:ascii="맑은 고딕" w:hAnsi="맑은 고딕" w:eastAsia="맑은 고딕"/>
          <w:b w:val="0"/>
          <w:i/>
          <w:color w:val="6E4A08"/>
          <w:sz w:val="17"/>
        </w:rPr>
        <w:t>↳ 차이가 실재한다는 걸 확인했으니, 이제 그 차이를 안전하게 학습에 쓸 수 있도록 데이터를 나눌 차례였다.</w:t>
      </w:r>
    </w:p>
    <w:p>
      <w:pPr>
        <w:spacing w:before="320" w:after="60"/>
        <w:pBdr>
          <w:bottom w:val="single" w:sz="5" w:space="2" w:color="DDD8C6"/>
        </w:pBdr>
      </w:pPr>
      <w:r>
        <w:rPr>
          <w:rFonts w:ascii="Consolas" w:hAnsi="Consolas" w:eastAsia="Consolas"/>
          <w:b/>
          <w:i w:val="0"/>
          <w:color w:val="8C5F0C"/>
          <w:sz w:val="24"/>
        </w:rPr>
        <w:t xml:space="preserve">04  </w:t>
      </w:r>
      <w:r>
        <w:rPr>
          <w:rFonts w:ascii="맑은 고딕" w:hAnsi="맑은 고딕" w:eastAsia="맑은 고딕"/>
          <w:b/>
          <w:i w:val="0"/>
          <w:color w:val="1A1815"/>
          <w:sz w:val="27"/>
        </w:rPr>
        <w:t>데이터 분할 및 전처리</w:t>
      </w:r>
    </w:p>
    <w:p>
      <w:pPr>
        <w:spacing w:after="160" w:before="0" w:line="298" w:lineRule="auto"/>
      </w:pPr>
      <w:r>
        <w:rPr>
          <w:rFonts w:ascii="맑은 고딕" w:hAnsi="맑은 고딕" w:eastAsia="맑은 고딕"/>
          <w:b w:val="0"/>
          <w:i w:val="0"/>
          <w:color w:val="5B584E"/>
          <w:sz w:val="19"/>
        </w:rPr>
        <w:t xml:space="preserve">그래프 통계 기반 피처는 주소 단위로 고정된 값이다. 같은 주소의 거래 기록이 학습 세트와 평가 세트에 걸쳐 섞이면, 그 주소의 피처값이 그대로 평가 세트에 노출되는 것과 같아 평가 점수가 부풀려진다. 이 누수를 원천 차단하기 위해 </w:t>
      </w:r>
      <w:r>
        <w:rPr>
          <w:rFonts w:ascii="맑은 고딕" w:hAnsi="맑은 고딕" w:eastAsia="맑은 고딕"/>
          <w:b/>
          <w:i w:val="0"/>
          <w:color w:val="1A1815"/>
          <w:sz w:val="19"/>
        </w:rPr>
        <w:t>거래 단위가 아니라 주소 단위로만</w:t>
      </w:r>
      <w:r>
        <w:rPr>
          <w:rFonts w:ascii="맑은 고딕" w:hAnsi="맑은 고딕" w:eastAsia="맑은 고딕"/>
          <w:b w:val="0"/>
          <w:i w:val="0"/>
          <w:color w:val="5B584E"/>
          <w:sz w:val="19"/>
        </w:rPr>
        <w:t xml:space="preserve"> 분할했다.</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구분</w:t>
            </w:r>
          </w:p>
        </w:tc>
        <w:tc>
          <w:tcPr>
            <w:tcW w:type="dxa" w:w="1928"/>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전체</w:t>
            </w:r>
          </w:p>
        </w:tc>
        <w:tc>
          <w:tcPr>
            <w:tcW w:type="dxa" w:w="1928"/>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사기</w:t>
            </w:r>
          </w:p>
        </w:tc>
        <w:tc>
          <w:tcPr>
            <w:tcW w:type="dxa" w:w="1928"/>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정상</w:t>
            </w:r>
          </w:p>
        </w:tc>
        <w:tc>
          <w:tcPr>
            <w:tcW w:type="dxa" w:w="1928"/>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사기 비율</w:t>
            </w:r>
          </w:p>
        </w:tc>
      </w:tr>
      <w:tr>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학습</w:t>
            </w:r>
          </w:p>
        </w:tc>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4,315</w:t>
            </w:r>
          </w:p>
        </w:tc>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815</w:t>
            </w:r>
          </w:p>
        </w:tc>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3,500</w:t>
            </w:r>
          </w:p>
        </w:tc>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18.9%</w:t>
            </w:r>
          </w:p>
        </w:tc>
      </w:tr>
      <w:tr>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검증</w:t>
            </w:r>
          </w:p>
        </w:tc>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924</w:t>
            </w:r>
          </w:p>
        </w:tc>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174</w:t>
            </w:r>
          </w:p>
        </w:tc>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750</w:t>
            </w:r>
          </w:p>
        </w:tc>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18.8%</w:t>
            </w:r>
          </w:p>
        </w:tc>
      </w:tr>
      <w:tr>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평가</w:t>
            </w:r>
          </w:p>
        </w:tc>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926</w:t>
            </w:r>
          </w:p>
        </w:tc>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176</w:t>
            </w:r>
          </w:p>
        </w:tc>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750</w:t>
            </w:r>
          </w:p>
        </w:tc>
        <w:tc>
          <w:tcPr>
            <w:tcW w:type="dxa" w:w="1928"/>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19.0%</w:t>
            </w:r>
          </w:p>
        </w:tc>
      </w:tr>
    </w:tbl>
    <w:p>
      <w:pPr>
        <w:spacing w:after="160" w:before="0" w:line="298" w:lineRule="auto"/>
      </w:pPr>
      <w:r>
        <w:rPr>
          <w:rFonts w:ascii="맑은 고딕" w:hAnsi="맑은 고딕" w:eastAsia="맑은 고딕"/>
          <w:b w:val="0"/>
          <w:i w:val="0"/>
          <w:color w:val="5B584E"/>
          <w:sz w:val="19"/>
        </w:rPr>
        <w:t xml:space="preserve">라벨 비율을 유지한 stratified 70/15/15 분할(고정 시드로 재현 가능)을 적용했고, 분할 직후 </w:t>
      </w:r>
      <w:r>
        <w:rPr>
          <w:rFonts w:ascii="맑은 고딕" w:hAnsi="맑은 고딕" w:eastAsia="맑은 고딕"/>
          <w:b/>
          <w:i w:val="0"/>
          <w:color w:val="1A1815"/>
          <w:sz w:val="19"/>
        </w:rPr>
        <w:t>두 가지 독립적인 방법</w:t>
      </w:r>
      <w:r>
        <w:rPr>
          <w:rFonts w:ascii="맑은 고딕" w:hAnsi="맑은 고딕" w:eastAsia="맑은 고딕"/>
          <w:b w:val="0"/>
          <w:i w:val="0"/>
          <w:color w:val="5B584E"/>
          <w:sz w:val="19"/>
        </w:rPr>
        <w:t>(내부 즉시 검증 + 저장된 결과 파일 재검증)으로 세 집합 간 주소 교집합이 정말 0인지 확인했다. 평가 세트(926개)는 7~8단계 전까지 절대 열어보지 않는다는 규칙도 이때 함께 세웠다 — 이 규칙을 어기면 “평가”가 사실상 또 하나의 검증 세트가 되어버려 분할의 의미가 사라지기 때문이다.</w:t>
      </w:r>
    </w:p>
    <w:p>
      <w:pPr>
        <w:spacing w:before="80" w:after="40" w:line="288" w:lineRule="auto"/>
      </w:pPr>
      <w:r>
        <w:rPr>
          <w:rFonts w:ascii="맑은 고딕" w:hAnsi="맑은 고딕" w:eastAsia="맑은 고딕"/>
          <w:b w:val="0"/>
          <w:i/>
          <w:color w:val="6E4A08"/>
          <w:sz w:val="17"/>
        </w:rPr>
        <w:t>↳ 안전하게 나눈 데이터 위에서, 이제 확인된 차이를 모델이 학습할 수 있는 신호로 번역하는 작업이 필요했다.</w:t>
      </w:r>
    </w:p>
    <w:p>
      <w:pPr>
        <w:spacing w:before="320" w:after="60"/>
        <w:pBdr>
          <w:bottom w:val="single" w:sz="5" w:space="2" w:color="DDD8C6"/>
        </w:pBdr>
      </w:pPr>
      <w:r>
        <w:rPr>
          <w:rFonts w:ascii="Consolas" w:hAnsi="Consolas" w:eastAsia="Consolas"/>
          <w:b/>
          <w:i w:val="0"/>
          <w:color w:val="8C5F0C"/>
          <w:sz w:val="24"/>
        </w:rPr>
        <w:t xml:space="preserve">05  </w:t>
      </w:r>
      <w:r>
        <w:rPr>
          <w:rFonts w:ascii="맑은 고딕" w:hAnsi="맑은 고딕" w:eastAsia="맑은 고딕"/>
          <w:b/>
          <w:i w:val="0"/>
          <w:color w:val="1A1815"/>
          <w:sz w:val="27"/>
        </w:rPr>
        <w:t>피처 엔지니어링</w:t>
      </w:r>
    </w:p>
    <w:p>
      <w:pPr>
        <w:spacing w:after="160" w:before="0" w:line="298" w:lineRule="auto"/>
      </w:pPr>
      <w:r>
        <w:rPr>
          <w:rFonts w:ascii="맑은 고딕" w:hAnsi="맑은 고딕" w:eastAsia="맑은 고딕"/>
          <w:b w:val="0"/>
          <w:i w:val="0"/>
          <w:color w:val="5B584E"/>
          <w:sz w:val="19"/>
        </w:rPr>
        <w:t>FATF(국제자금세탁방지기구)의 Virtual Asset Red Flag Indicators, Chainalysis의 연례 암호화폐 범죄 보고서, 그리고 그래프 기반 온체인 자금세탁 탐지를 다룬 학술 논문을 직접 검토해 신규 피처 후보를 도출했다. 논문이 제시한 fan-in/fan-out, layering(다단 전달), cycle(순환 거래) 같은 그래프 이론적 정의는 그대로 구현해 행동 축 룰의 계산 기반으로 삼았다.</w:t>
      </w:r>
    </w:p>
    <w:p>
      <w:pPr>
        <w:spacing w:before="180" w:after="40"/>
      </w:pPr>
      <w:r>
        <w:rPr>
          <w:rFonts w:ascii="맑은 고딕" w:hAnsi="맑은 고딕" w:eastAsia="맑은 고딕"/>
          <w:b/>
          <w:i w:val="0"/>
          <w:color w:val="6E4A08"/>
          <w:sz w:val="20"/>
        </w:rPr>
        <w:t>논문 개념의 재해석 — peel chain</w:t>
      </w:r>
    </w:p>
    <w:p>
      <w:pPr>
        <w:spacing w:after="160" w:before="0" w:line="298" w:lineRule="auto"/>
      </w:pPr>
      <w:r>
        <w:rPr>
          <w:rFonts w:ascii="맑은 고딕" w:hAnsi="맑은 고딕" w:eastAsia="맑은 고딕"/>
          <w:b w:val="0"/>
          <w:i w:val="0"/>
          <w:color w:val="5B584E"/>
          <w:sz w:val="19"/>
        </w:rPr>
        <w:t xml:space="preserve">Chainalysis 등 도난 자금 추적 보고서에서 반복적으로 언급되는 “peel chain”(큰 금액이 유입된 뒤 매 홉마다 일정 비율만 남기고 계속 다음 주소로 전달되는 패턴)을 신규 피처로 번역하는 과정에서, 기존에 구현돼 있던 Layering Chain 룰과 </w:t>
      </w:r>
      <w:r>
        <w:rPr>
          <w:rFonts w:ascii="맑은 고딕" w:hAnsi="맑은 고딕" w:eastAsia="맑은 고딕"/>
          <w:b/>
          <w:i w:val="0"/>
          <w:color w:val="1A1815"/>
          <w:sz w:val="19"/>
        </w:rPr>
        <w:t>정반대 조건</w:t>
      </w:r>
      <w:r>
        <w:rPr>
          <w:rFonts w:ascii="맑은 고딕" w:hAnsi="맑은 고딕" w:eastAsia="맑은 고딕"/>
          <w:b w:val="0"/>
          <w:i w:val="0"/>
          <w:color w:val="5B584E"/>
          <w:sz w:val="19"/>
        </w:rPr>
        <w:t>이라는 걸 발견했다 — 기존 룰은 각 홉의 금액이 유사해야 발동하는데, peel chain은 반대로 각 홉의 금액이 계속 감소해야 발동한다. 즉 기존 룰북이 구조적으로 놓치고 있던 패턴이라, 별도 신규 피처로 구현할 근거가 명확했다.</w:t>
      </w:r>
    </w:p>
    <w:p>
      <w:pPr>
        <w:spacing w:before="180" w:after="40"/>
      </w:pPr>
      <w:r>
        <w:rPr>
          <w:rFonts w:ascii="맑은 고딕" w:hAnsi="맑은 고딕" w:eastAsia="맑은 고딕"/>
          <w:b/>
          <w:i w:val="0"/>
          <w:color w:val="6E4A08"/>
          <w:sz w:val="20"/>
        </w:rPr>
        <w:t>계산이 안 되는 것은 안 된다고 명시 — PPR 배제</w:t>
      </w:r>
    </w:p>
    <w:p>
      <w:pPr>
        <w:spacing w:after="160" w:before="0" w:line="298" w:lineRule="auto"/>
      </w:pPr>
      <w:r>
        <w:rPr>
          <w:rFonts w:ascii="맑은 고딕" w:hAnsi="맑은 고딕" w:eastAsia="맑은 고딕"/>
          <w:b w:val="0"/>
          <w:i w:val="0"/>
          <w:color w:val="5B584E"/>
          <w:sz w:val="19"/>
        </w:rPr>
        <w:t xml:space="preserve">그래프 중요도 지표인 PPR(Personalized PageRank)도 유력한 후보였으나, 약 297만 노드 규모의 전체 그래프에서 실제 계산 시 메모리 초과 위험이 크다고 판단해 </w:t>
      </w:r>
      <w:r>
        <w:rPr>
          <w:rFonts w:ascii="맑은 고딕" w:hAnsi="맑은 고딕" w:eastAsia="맑은 고딕"/>
          <w:b/>
          <w:i w:val="0"/>
          <w:color w:val="1A1815"/>
          <w:sz w:val="19"/>
        </w:rPr>
        <w:t>근사치로 대체하는 대신 검증되지 않은 채로 최종 피처셋에서 배제</w:t>
      </w:r>
      <w:r>
        <w:rPr>
          <w:rFonts w:ascii="맑은 고딕" w:hAnsi="맑은 고딕" w:eastAsia="맑은 고딕"/>
          <w:b w:val="0"/>
          <w:i w:val="0"/>
          <w:color w:val="5B584E"/>
          <w:sz w:val="19"/>
        </w:rPr>
        <w:t>했다.</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피처</w:t>
            </w:r>
          </w:p>
        </w:tc>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정의</w:t>
            </w:r>
          </w:p>
        </w:tc>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검증 결과</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peel chain 점수</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금액이 매 홉 감소하며 여러 주소를 거치는 패턴 길이/횟수</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사기 검출 26.1% · 정상 오탐 1.74% (lift 15.0)</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금액 변동계수</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이 주소 자신의 과거 거래 금액 대비 이탈 정도</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사기 검출 62.7% · 정상 오탐 4.20% (lift 14.9)</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빈도 변동계수</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이 주소 자신의 과거 거래 간격 대비 이탈 정도</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사기 검출 78.2% · 정상 오탐 5.43% (lift 14.4)</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제재/믹서 근접도·프라이버시 접촉 (3개)</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제재·믹서 리스트까지의 그래프상 최단 거리, 프라이버시 프로토콜 직접 접촉</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구현 완료, 이 데이터셋 시기와 맞지 않아 학습 신호 없음 → 8단계에서 게이팅 룰로 재분류</w:t>
            </w:r>
          </w:p>
        </w:tc>
      </w:tr>
    </w:tbl>
    <w:p>
      <w:pPr>
        <w:spacing w:before="80" w:after="40" w:line="288" w:lineRule="auto"/>
      </w:pPr>
      <w:r>
        <w:rPr>
          <w:rFonts w:ascii="맑은 고딕" w:hAnsi="맑은 고딕" w:eastAsia="맑은 고딕"/>
          <w:b w:val="0"/>
          <w:i/>
          <w:color w:val="6E4A08"/>
          <w:sz w:val="17"/>
        </w:rPr>
        <w:t>↳ 이렇게 만든 신호들이 실제로 학습에 기여하는지는, 모델을 직접 돌려봐야 알 수 있었다.</w:t>
      </w:r>
    </w:p>
    <w:p>
      <w:pPr>
        <w:spacing w:before="320" w:after="60"/>
        <w:pBdr>
          <w:bottom w:val="single" w:sz="5" w:space="2" w:color="DDD8C6"/>
        </w:pBdr>
      </w:pPr>
      <w:r>
        <w:rPr>
          <w:rFonts w:ascii="Consolas" w:hAnsi="Consolas" w:eastAsia="Consolas"/>
          <w:b/>
          <w:i w:val="0"/>
          <w:color w:val="8C5F0C"/>
          <w:sz w:val="24"/>
        </w:rPr>
        <w:t xml:space="preserve">06  </w:t>
      </w:r>
      <w:r>
        <w:rPr>
          <w:rFonts w:ascii="맑은 고딕" w:hAnsi="맑은 고딕" w:eastAsia="맑은 고딕"/>
          <w:b/>
          <w:i w:val="0"/>
          <w:color w:val="1A1815"/>
          <w:sz w:val="27"/>
        </w:rPr>
        <w:t>모델 학습 및 튜닝</w:t>
      </w:r>
    </w:p>
    <w:p>
      <w:pPr>
        <w:spacing w:after="160" w:before="0" w:line="298" w:lineRule="auto"/>
      </w:pPr>
      <w:r>
        <w:rPr>
          <w:rFonts w:ascii="맑은 고딕" w:hAnsi="맑은 고딕" w:eastAsia="맑은 고딕"/>
          <w:b w:val="0"/>
          <w:i w:val="0"/>
          <w:color w:val="5B584E"/>
          <w:sz w:val="19"/>
        </w:rPr>
        <w:t xml:space="preserve">과거 유사 실험에서 단일 분할 하나로 매우 높은 정확도가 나왔던 사례가 우연인지 실력인지 구분할 방법이 없었다는 문제의식이 있어, 이번에는 </w:t>
      </w:r>
      <w:r>
        <w:rPr>
          <w:rFonts w:ascii="맑은 고딕" w:hAnsi="맑은 고딕" w:eastAsia="맑은 고딕"/>
          <w:b/>
          <w:i w:val="0"/>
          <w:color w:val="1A1815"/>
          <w:sz w:val="19"/>
        </w:rPr>
        <w:t>5-fold 층화 교차검증</w:t>
      </w:r>
      <w:r>
        <w:rPr>
          <w:rFonts w:ascii="맑은 고딕" w:hAnsi="맑은 고딕" w:eastAsia="맑은 고딕"/>
          <w:b w:val="0"/>
          <w:i w:val="0"/>
          <w:color w:val="5B584E"/>
          <w:sz w:val="19"/>
        </w:rPr>
        <w:t xml:space="preserve">으로 fold마다 성능이 얼마나 흔들리는지 직접 확인하는 방식을 택했다. </w:t>
      </w:r>
      <w:r>
        <w:rPr>
          <w:rFonts w:ascii="맑은 고딕" w:hAnsi="맑은 고딕" w:eastAsia="맑은 고딕"/>
          <w:b/>
          <w:i w:val="0"/>
          <w:color w:val="1A1815"/>
          <w:sz w:val="19"/>
        </w:rPr>
        <w:t>① LogisticRegression</w:t>
      </w:r>
      <w:r>
        <w:rPr>
          <w:rFonts w:ascii="맑은 고딕" w:hAnsi="맑은 고딕" w:eastAsia="맑은 고딕"/>
          <w:b w:val="0"/>
          <w:i w:val="0"/>
          <w:color w:val="5B584E"/>
          <w:sz w:val="19"/>
        </w:rPr>
        <w:t xml:space="preserve">을 베이스라인으로, </w:t>
      </w:r>
      <w:r>
        <w:rPr>
          <w:rFonts w:ascii="맑은 고딕" w:hAnsi="맑은 고딕" w:eastAsia="맑은 고딕"/>
          <w:b/>
          <w:i w:val="0"/>
          <w:color w:val="1A1815"/>
          <w:sz w:val="19"/>
        </w:rPr>
        <w:t>② RandomForest</w:t>
      </w:r>
      <w:r>
        <w:rPr>
          <w:rFonts w:ascii="맑은 고딕" w:hAnsi="맑은 고딕" w:eastAsia="맑은 고딕"/>
          <w:b w:val="0"/>
          <w:i w:val="0"/>
          <w:color w:val="5B584E"/>
          <w:sz w:val="19"/>
        </w:rPr>
        <w:t xml:space="preserve">로 비선형·상호작용 포착 여부를 비교한 뒤, </w:t>
      </w:r>
      <w:r>
        <w:rPr>
          <w:rFonts w:ascii="맑은 고딕" w:hAnsi="맑은 고딕" w:eastAsia="맑은 고딕"/>
          <w:b/>
          <w:i w:val="0"/>
          <w:color w:val="1A1815"/>
          <w:sz w:val="19"/>
        </w:rPr>
        <w:t>③ HistGradientBoostingClassifier</w:t>
      </w:r>
      <w:r>
        <w:rPr>
          <w:rFonts w:ascii="맑은 고딕" w:hAnsi="맑은 고딕" w:eastAsia="맑은 고딕"/>
          <w:b w:val="0"/>
          <w:i w:val="0"/>
          <w:color w:val="5B584E"/>
          <w:sz w:val="19"/>
        </w:rPr>
        <w:t>까지 확장해 최종 비교했다.</w:t>
      </w:r>
    </w:p>
    <w:tbl>
      <w:tblPr>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모델</w:t>
            </w:r>
          </w:p>
        </w:tc>
        <w:tc>
          <w:tcPr>
            <w:tcW w:type="dxa" w:w="1377"/>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Accuracy</w:t>
            </w:r>
          </w:p>
        </w:tc>
        <w:tc>
          <w:tcPr>
            <w:tcW w:type="dxa" w:w="1377"/>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Precision</w:t>
            </w:r>
          </w:p>
        </w:tc>
        <w:tc>
          <w:tcPr>
            <w:tcW w:type="dxa" w:w="1377"/>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Recall</w:t>
            </w:r>
          </w:p>
        </w:tc>
        <w:tc>
          <w:tcPr>
            <w:tcW w:type="dxa" w:w="1377"/>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F1</w:t>
            </w:r>
          </w:p>
        </w:tc>
        <w:tc>
          <w:tcPr>
            <w:tcW w:type="dxa" w:w="1377"/>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ROC-AUC</w:t>
            </w:r>
          </w:p>
        </w:tc>
        <w:tc>
          <w:tcPr>
            <w:tcW w:type="dxa" w:w="1377"/>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PR-AUC</w:t>
            </w:r>
          </w:p>
        </w:tc>
      </w:tr>
      <w:tr>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i w:val="0"/>
                <w:color w:val="1A1815"/>
                <w:sz w:val="17"/>
              </w:rPr>
              <w:t>LogisticRegression (베이스라인)</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95.3</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83.7</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93.7</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88.4</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98.0</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93.0</w:t>
            </w:r>
          </w:p>
        </w:tc>
      </w:tr>
      <w:tr>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i w:val="0"/>
                <w:color w:val="1A1815"/>
                <w:sz w:val="17"/>
              </w:rPr>
              <w:t>RandomForest</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95.7</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85.2</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93.4</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89.1</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98.2</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95.0</w:t>
            </w:r>
          </w:p>
        </w:tc>
      </w:tr>
      <w:tr>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i w:val="0"/>
                <w:color w:val="1A1815"/>
                <w:sz w:val="17"/>
              </w:rPr>
              <w:t>HistGradientBoosting (최종 선택)</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96.5</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90.7</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90.6</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90.6</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98.7</w:t>
            </w:r>
          </w:p>
        </w:tc>
        <w:tc>
          <w:tcPr>
            <w:tcW w:type="dxa" w:w="1377"/>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96.0</w:t>
            </w:r>
          </w:p>
        </w:tc>
      </w:tr>
    </w:tbl>
    <w:p>
      <w:pPr>
        <w:spacing w:before="180" w:after="40"/>
      </w:pPr>
      <w:r>
        <w:rPr>
          <w:rFonts w:ascii="맑은 고딕" w:hAnsi="맑은 고딕" w:eastAsia="맑은 고딕"/>
          <w:b/>
          <w:i w:val="0"/>
          <w:color w:val="6E4A08"/>
          <w:sz w:val="20"/>
        </w:rPr>
        <w:t>최종 선택 — 히스토그램 기반 그라디언트 부스팅</w:t>
      </w:r>
    </w:p>
    <w:p>
      <w:pPr>
        <w:spacing w:after="160" w:before="0" w:line="298" w:lineRule="auto"/>
      </w:pPr>
      <w:r>
        <w:rPr>
          <w:rFonts w:ascii="맑은 고딕" w:hAnsi="맑은 고딕" w:eastAsia="맑은 고딕"/>
          <w:b w:val="0"/>
          <w:i w:val="0"/>
          <w:color w:val="5B584E"/>
          <w:sz w:val="19"/>
        </w:rPr>
        <w:t xml:space="preserve">최종 채택한 모델은 scikit-learn의 </w:t>
      </w:r>
      <w:r>
        <w:rPr>
          <w:rFonts w:ascii="맑은 고딕" w:hAnsi="맑은 고딕" w:eastAsia="맑은 고딕"/>
          <w:b/>
          <w:i w:val="0"/>
          <w:color w:val="1A1815"/>
          <w:sz w:val="19"/>
        </w:rPr>
        <w:t>HistGradientBoostingClassifier</w:t>
      </w:r>
      <w:r>
        <w:rPr>
          <w:rFonts w:ascii="맑은 고딕" w:hAnsi="맑은 고딕" w:eastAsia="맑은 고딕"/>
          <w:b w:val="0"/>
          <w:i w:val="0"/>
          <w:color w:val="5B584E"/>
          <w:sz w:val="19"/>
        </w:rPr>
        <w:t xml:space="preserve">로, 일반 그라디언트 부스팅(예: 순차적으로 정확한 값을 전부 정렬해 분할점을 찾는 방식)과 달리 </w:t>
      </w:r>
      <w:r>
        <w:rPr>
          <w:rFonts w:ascii="맑은 고딕" w:hAnsi="맑은 고딕" w:eastAsia="맑은 고딕"/>
          <w:b/>
          <w:i w:val="0"/>
          <w:color w:val="1A1815"/>
          <w:sz w:val="19"/>
        </w:rPr>
        <w:t>연속형 피처 값을 학습 전에 고정된 개수의 구간(bin)으로 미리 이산화해 히스토그램으로 표현</w:t>
      </w:r>
      <w:r>
        <w:rPr>
          <w:rFonts w:ascii="맑은 고딕" w:hAnsi="맑은 고딕" w:eastAsia="맑은 고딕"/>
          <w:b w:val="0"/>
          <w:i w:val="0"/>
          <w:color w:val="5B584E"/>
          <w:sz w:val="19"/>
        </w:rPr>
        <w:t>한다는 점이 핵심 차이다. 트리를 분할할 때 원본 데이터를 전부 정렬해 후보 분할점을 찾는 대신, 미리 만들어둔 히스토그램의 구간 경계값만 후보로 검토하기 때문에 분할 탐색 비용이 데이터 크기가 아니라 구간 수에 비례하게 줄어든다 — 이 덕분에 학습 속도가 빠르고 메모리 사용량도 적다(LightGBM이 대중화한 방식과 같은 계열이다).</w:t>
      </w:r>
    </w:p>
    <w:p>
      <w:pPr>
        <w:spacing w:after="160" w:before="0" w:line="298" w:lineRule="auto"/>
      </w:pPr>
      <w:r>
        <w:rPr>
          <w:rFonts w:ascii="맑은 고딕" w:hAnsi="맑은 고딕" w:eastAsia="맑은 고딕"/>
          <w:b w:val="0"/>
          <w:i w:val="0"/>
          <w:color w:val="5B584E"/>
          <w:sz w:val="19"/>
        </w:rPr>
        <w:t xml:space="preserve">TRACE-X에서 이 방식이 결정적으로 유리했던 이유는 속도보다 </w:t>
      </w:r>
      <w:r>
        <w:rPr>
          <w:rFonts w:ascii="맑은 고딕" w:hAnsi="맑은 고딕" w:eastAsia="맑은 고딕"/>
          <w:b/>
          <w:i w:val="0"/>
          <w:color w:val="1A1815"/>
          <w:sz w:val="19"/>
        </w:rPr>
        <w:t>결측치 처리 방식</w:t>
      </w:r>
      <w:r>
        <w:rPr>
          <w:rFonts w:ascii="맑은 고딕" w:hAnsi="맑은 고딕" w:eastAsia="맑은 고딕"/>
          <w:b w:val="0"/>
          <w:i w:val="0"/>
          <w:color w:val="5B584E"/>
          <w:sz w:val="19"/>
        </w:rPr>
        <w:t>에 있었다. 히스토그램 기반 구현은 결측치(NaN)를 “비어있는 별도의 구간”으로 취급해, 값이 있을 때와 없을 때 어느 방향으로 분기할지를 데이터로부터 직접 학습한다 — 즉 사전 임퓨테이션이 필요 없다. 이 프로젝트에서는 신규 피처(금액/빈도 변동계수)의 결측 발생률 자체가 사기 주소(96%)와 정상 주소(19%) 사이에 크게 갈린다는 걸 3단계 EDA에서 이미 발견했는데, 만약 결측치를 중앙값 등으로 임퓨테이션했다면 “값이 없다”는 사실 자체가 지워져 이 편향 신호를 모델이 아예 보지 못했을 것이다. 히스토그램 기반 방식 덕분에 이 신호를 감추지 않고 그대로 노출시킨 채 학습할 수 있었고, 이것이 다른 두 모델 대비 명확한 우위로 이어졌다.</w:t>
      </w:r>
    </w:p>
    <w:p>
      <w:pPr>
        <w:spacing w:after="160" w:before="0" w:line="298" w:lineRule="auto"/>
      </w:pPr>
      <w:r>
        <w:rPr>
          <w:rFonts w:ascii="맑은 고딕" w:hAnsi="맑은 고딕" w:eastAsia="맑은 고딕"/>
          <w:b w:val="0"/>
          <w:i/>
          <w:color w:val="8A8577"/>
          <w:sz w:val="16"/>
        </w:rPr>
        <w:t>(참고) 일반 그라디언트 부스팅 대비 속도·메모리 이점은 이 계열 알고리즘의 일반적으로 알려진 특성이며, 이 프로젝트에서 “히스토그램 방식 대 비-히스토그램 방식”을 직접 나란히 벤치마크하지는 않았다 — 학습 반복(교차검증·격자 탐색)이 충분히 빠르게 끝난다는 것만 실측으로 확인했다.</w:t>
      </w:r>
    </w:p>
    <w:p>
      <w:pPr>
        <w:spacing w:after="160" w:before="0" w:line="298" w:lineRule="auto"/>
      </w:pPr>
      <w:r>
        <w:rPr>
          <w:rFonts w:ascii="맑은 고딕" w:hAnsi="맑은 고딕" w:eastAsia="맑은 고딕"/>
          <w:b w:val="0"/>
          <w:i w:val="0"/>
          <w:color w:val="5B584E"/>
          <w:sz w:val="19"/>
        </w:rPr>
        <w:t xml:space="preserve">어블레이션 결과 신규 피처 4개 추가로 PR-AUC가 </w:t>
      </w:r>
      <w:r>
        <w:rPr>
          <w:rFonts w:ascii="Consolas" w:hAnsi="Consolas" w:eastAsia="Consolas"/>
          <w:b/>
          <w:i w:val="0"/>
          <w:color w:val="6E4A08"/>
          <w:sz w:val="19"/>
        </w:rPr>
        <w:t>95.33 → 95.98</w:t>
      </w:r>
      <w:r>
        <w:rPr>
          <w:rFonts w:ascii="맑은 고딕" w:hAnsi="맑은 고딕" w:eastAsia="맑은 고딕"/>
          <w:b w:val="0"/>
          <w:i w:val="0"/>
          <w:color w:val="5B584E"/>
          <w:sz w:val="19"/>
        </w:rPr>
        <w:t>(+0.65%p)로 개선됐다 — 이미 강한 기존 피처 위에 얹는 것이라 극적인 향상은 아니었고, 그 폭을 그대로 남겼다. 하이퍼파라미터 튜닝은 기본값 대비 95.98 → 96.20으로 미세하게만 개선됐는데, 이 역시 억지로 맞춘 결과가 아니라는 방증으로 해석했다.</w:t>
      </w:r>
    </w:p>
    <w:p>
      <w:pPr>
        <w:spacing w:before="80" w:after="40" w:line="288" w:lineRule="auto"/>
      </w:pPr>
      <w:r>
        <w:rPr>
          <w:rFonts w:ascii="맑은 고딕" w:hAnsi="맑은 고딕" w:eastAsia="맑은 고딕"/>
          <w:b w:val="0"/>
          <w:i/>
          <w:color w:val="6E4A08"/>
          <w:sz w:val="17"/>
        </w:rPr>
        <w:t>↳ 학습이 끝난 모델이 실제로 미지의 데이터에서도 통하는지는, 단 한 번의 평가로만 확인할 수 있었다.</w:t>
      </w:r>
    </w:p>
    <w:p>
      <w:pPr>
        <w:spacing w:before="320" w:after="60"/>
        <w:pBdr>
          <w:bottom w:val="single" w:sz="5" w:space="2" w:color="DDD8C6"/>
        </w:pBdr>
      </w:pPr>
      <w:r>
        <w:rPr>
          <w:rFonts w:ascii="Consolas" w:hAnsi="Consolas" w:eastAsia="Consolas"/>
          <w:b/>
          <w:i w:val="0"/>
          <w:color w:val="8C5F0C"/>
          <w:sz w:val="24"/>
        </w:rPr>
        <w:t xml:space="preserve">07  </w:t>
      </w:r>
      <w:r>
        <w:rPr>
          <w:rFonts w:ascii="맑은 고딕" w:hAnsi="맑은 고딕" w:eastAsia="맑은 고딕"/>
          <w:b/>
          <w:i w:val="0"/>
          <w:color w:val="1A1815"/>
          <w:sz w:val="27"/>
        </w:rPr>
        <w:t>평가 및 임계값 설정</w:t>
      </w:r>
    </w:p>
    <w:p>
      <w:pPr>
        <w:spacing w:after="160" w:before="0" w:line="298" w:lineRule="auto"/>
      </w:pPr>
      <w:r>
        <w:rPr>
          <w:rFonts w:ascii="맑은 고딕" w:hAnsi="맑은 고딕" w:eastAsia="맑은 고딕"/>
          <w:b w:val="0"/>
          <w:i w:val="0"/>
          <w:color w:val="5B584E"/>
          <w:sz w:val="19"/>
        </w:rPr>
        <w:t>평가 세트 최초·유일 평가(1회): Accuracy 97.0 · Precision 93.0 · Recall 90.9 · F1 92.0 · ROC-AUC 99.3 · PR-AUC 97.3 — 교차검증 평균과 유사하거나 오히려 소폭 높아 과적합 징후가 관찰되지 않았다. 혼동행렬 기준 오탐 12건 · 미탐 16건(정상 750 · 사기 176 중), 오탐률 1.60% · 미탐률 9.09%였다.</w:t>
      </w:r>
    </w:p>
    <w:tbl>
      <w:tblPr>
        <w:tblW w:type="auto" w:w="0"/>
        <w:jc w:val="center"/>
        <w:tblLook w:firstColumn="1" w:firstRow="1" w:lastColumn="0" w:lastRow="0" w:noHBand="0" w:noVBand="1" w:val="04A0"/>
      </w:tblPr>
      <w:tblGrid>
        <w:gridCol w:w="2409"/>
        <w:gridCol w:w="2409"/>
        <w:gridCol w:w="2409"/>
        <w:gridCol w:w="2409"/>
      </w:tblGrid>
      <w:tr>
        <w:tc>
          <w:tcPr>
            <w:tcW w:type="dxa" w:w="2409"/>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등급</w:t>
            </w:r>
          </w:p>
        </w:tc>
        <w:tc>
          <w:tcPr>
            <w:tcW w:type="dxa" w:w="2409"/>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점수 구간</w:t>
            </w:r>
          </w:p>
        </w:tc>
        <w:tc>
          <w:tcPr>
            <w:tcW w:type="dxa" w:w="2409"/>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사기 포함률</w:t>
            </w:r>
          </w:p>
        </w:tc>
        <w:tc>
          <w:tcPr>
            <w:tcW w:type="dxa" w:w="2409"/>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정상 포함률</w:t>
            </w:r>
          </w:p>
        </w:tc>
      </w:tr>
      <w:tr>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저위험</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0 ~ 20</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3.4%</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97.3%</w:t>
            </w:r>
          </w:p>
        </w:tc>
      </w:tr>
      <w:tr>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중위험</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20 ~ 50</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5.7%</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1.1%</w:t>
            </w:r>
          </w:p>
        </w:tc>
      </w:tr>
      <w:tr>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고위험</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50 ~ 80</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9.7%</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0.8%</w:t>
            </w:r>
          </w:p>
        </w:tc>
      </w:tr>
      <w:tr>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심각</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80 ~ 100</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81.3%</w:t>
            </w:r>
          </w:p>
        </w:tc>
        <w:tc>
          <w:tcPr>
            <w:tcW w:type="dxa" w:w="240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0.8%</w:t>
            </w:r>
          </w:p>
        </w:tc>
      </w:tr>
    </w:tbl>
    <w:p>
      <w:pPr>
        <w:spacing w:after="160" w:before="0" w:line="298" w:lineRule="auto"/>
      </w:pPr>
      <w:r>
        <w:rPr>
          <w:rFonts w:ascii="맑은 고딕" w:hAnsi="맑은 고딕" w:eastAsia="맑은 고딕"/>
          <w:b w:val="0"/>
          <w:i w:val="0"/>
          <w:color w:val="5B584E"/>
          <w:sz w:val="19"/>
        </w:rPr>
        <w:t>점수 분포가 두 클래스 간 거의 겹치지 않아(정상 90퍼센타일 2.9점 vs 사기 10퍼센타일 63.1점) 4단계 등급을 나눌 수 있었다 — “심각” 등급 하나만으로 사기의 81.3%를 오탐 0.8%에 포착한다. 등급을 세분화한 이유는 오탐(정상 업무 방해)과 미탐(위험 누락) 사이에 절대적으로 옳은 지점이 없기 때문이다 — 단일 컷오프 대신 등급별로 대응 강도(자동 통과/모니터링/검토/즉시 조치)를 달리 가져갈 수 있게 설계했다.</w:t>
      </w:r>
    </w:p>
    <w:p>
      <w:pPr>
        <w:spacing w:after="160" w:before="0" w:line="298" w:lineRule="auto"/>
      </w:pPr>
      <w:r>
        <w:rPr>
          <w:rFonts w:ascii="맑은 고딕" w:hAnsi="맑은 고딕" w:eastAsia="맑은 고딕"/>
          <w:b w:val="0"/>
          <w:i w:val="0"/>
          <w:color w:val="5B584E"/>
          <w:sz w:val="19"/>
        </w:rPr>
        <w:t xml:space="preserve">추가로, 학습 데이터에 전혀 포함되지 않은 </w:t>
      </w:r>
      <w:r>
        <w:rPr>
          <w:rFonts w:ascii="맑은 고딕" w:hAnsi="맑은 고딕" w:eastAsia="맑은 고딕"/>
          <w:b/>
          <w:i w:val="0"/>
          <w:color w:val="1A1815"/>
          <w:sz w:val="19"/>
        </w:rPr>
        <w:t>이후 시점에 실제로 발생한 대형 사고 관련 주소</w:t>
      </w:r>
      <w:r>
        <w:rPr>
          <w:rFonts w:ascii="맑은 고딕" w:hAnsi="맑은 고딕" w:eastAsia="맑은 고딕"/>
          <w:b w:val="0"/>
          <w:i w:val="0"/>
          <w:color w:val="5B584E"/>
          <w:sz w:val="19"/>
        </w:rPr>
        <w:t>를 입력했을 때도 “심각” 등급으로 포착되는 것을 확인했다 — 이 주소나 그 시기의 데이터가 학습 과정에 들어간 적이 없다는 걸 직접 확인한 뒤 내린 결론으로, 특정 사건을 암기한 게 아니라 자금세탁의 행동적 지문을 일반화해서 학습했다는 근거로 보고 있다.</w:t>
      </w:r>
    </w:p>
    <w:p>
      <w:pPr>
        <w:spacing w:before="80" w:after="40" w:line="288" w:lineRule="auto"/>
      </w:pPr>
      <w:r>
        <w:rPr>
          <w:rFonts w:ascii="맑은 고딕" w:hAnsi="맑은 고딕" w:eastAsia="맑은 고딕"/>
          <w:b w:val="0"/>
          <w:i/>
          <w:color w:val="6E4A08"/>
          <w:sz w:val="17"/>
        </w:rPr>
        <w:t>↳ 그런데 정확도가 아무리 높아도, 그 점수가 왜 나왔는지 설명할 수 없다면 규제 산업에서는 쓸 수 없다 — 그래서 처음부터 룰과 ML을 분리해서 설계했다.</w:t>
      </w:r>
    </w:p>
    <w:p>
      <w:pPr>
        <w:spacing w:before="320" w:after="60"/>
        <w:pBdr>
          <w:bottom w:val="single" w:sz="5" w:space="2" w:color="DDD8C6"/>
        </w:pBdr>
      </w:pPr>
      <w:r>
        <w:rPr>
          <w:rFonts w:ascii="Consolas" w:hAnsi="Consolas" w:eastAsia="Consolas"/>
          <w:b/>
          <w:i w:val="0"/>
          <w:color w:val="8C5F0C"/>
          <w:sz w:val="24"/>
        </w:rPr>
        <w:t xml:space="preserve">08  </w:t>
      </w:r>
      <w:r>
        <w:rPr>
          <w:rFonts w:ascii="맑은 고딕" w:hAnsi="맑은 고딕" w:eastAsia="맑은 고딕"/>
          <w:b/>
          <w:i w:val="0"/>
          <w:color w:val="1A1815"/>
          <w:sz w:val="27"/>
        </w:rPr>
        <w:t>룰 기반 로직과 ML의 역할 분리</w:t>
      </w:r>
    </w:p>
    <w:p>
      <w:pPr>
        <w:spacing w:after="160" w:before="0" w:line="298" w:lineRule="auto"/>
      </w:pPr>
      <w:r>
        <w:rPr>
          <w:rFonts w:ascii="맑은 고딕" w:hAnsi="맑은 고딕" w:eastAsia="맑은 고딕"/>
          <w:b w:val="0"/>
          <w:i w:val="0"/>
          <w:color w:val="5B584E"/>
          <w:sz w:val="19"/>
        </w:rPr>
        <w:t xml:space="preserve">구조는 </w:t>
      </w:r>
      <w:r>
        <w:rPr>
          <w:rFonts w:ascii="맑은 고딕" w:hAnsi="맑은 고딕" w:eastAsia="맑은 고딕"/>
          <w:b/>
          <w:i w:val="0"/>
          <w:color w:val="1A1815"/>
          <w:sz w:val="19"/>
        </w:rPr>
        <w:t>게이팅(Gating) + 병렬 표시(Parallel Display)</w:t>
      </w:r>
      <w:r>
        <w:rPr>
          <w:rFonts w:ascii="맑은 고딕" w:hAnsi="맑은 고딕" w:eastAsia="맑은 고딕"/>
          <w:b w:val="0"/>
          <w:i w:val="0"/>
          <w:color w:val="5B584E"/>
          <w:sz w:val="19"/>
        </w:rPr>
        <w:t xml:space="preserve">다. 순차 필터링(룰이 먼저 걸러내고 ML이 나머지만 채점)도, 완전 병렬 후 하나로 취합하는 방식도 아니다. 룰과 ML은 매 요청마다 각자 독립적으로 전체 입력을 판단해 자체 점수를 내고, 이 두 점수는 하나의 숫자로 합쳐지지 않은 채 </w:t>
      </w:r>
      <w:r>
        <w:rPr>
          <w:rFonts w:ascii="맑은 고딕" w:hAnsi="맑은 고딕" w:eastAsia="맑은 고딕"/>
          <w:b/>
          <w:i w:val="0"/>
          <w:color w:val="1A1815"/>
          <w:sz w:val="19"/>
        </w:rPr>
        <w:t>별도 트랙으로 나란히 반환</w:t>
      </w:r>
      <w:r>
        <w:rPr>
          <w:rFonts w:ascii="맑은 고딕" w:hAnsi="맑은 고딕" w:eastAsia="맑은 고딕"/>
          <w:b w:val="0"/>
          <w:i w:val="0"/>
          <w:color w:val="5B584E"/>
          <w:sz w:val="19"/>
        </w:rPr>
        <w:t>된다. 그 위에 특정 컴플라이언스 룰이 발동했을 때만 “두 점수와 무관하게 최우선 검토 필요”라는 게이팅 신호가 추가된다.</w:t>
      </w:r>
    </w:p>
    <w:p>
      <w:pPr>
        <w:spacing w:before="180" w:after="40"/>
      </w:pPr>
      <w:r>
        <w:rPr>
          <w:rFonts w:ascii="맑은 고딕" w:hAnsi="맑은 고딕" w:eastAsia="맑은 고딕"/>
          <w:b/>
          <w:i w:val="0"/>
          <w:color w:val="6E4A08"/>
          <w:sz w:val="20"/>
        </w:rPr>
        <w:t>왜 하나로 합치지 않았는가</w:t>
      </w:r>
    </w:p>
    <w:p>
      <w:pPr>
        <w:spacing w:after="160" w:before="0" w:line="298" w:lineRule="auto"/>
      </w:pPr>
      <w:r>
        <w:rPr>
          <w:rFonts w:ascii="맑은 고딕" w:hAnsi="맑은 고딕" w:eastAsia="맑은 고딕"/>
          <w:b/>
          <w:i w:val="0"/>
          <w:color w:val="1A1815"/>
          <w:sz w:val="19"/>
        </w:rPr>
        <w:t>① 근거의 성격이 다르다.</w:t>
      </w:r>
      <w:r>
        <w:rPr>
          <w:rFonts w:ascii="맑은 고딕" w:hAnsi="맑은 고딕" w:eastAsia="맑은 고딕"/>
          <w:b w:val="0"/>
          <w:i w:val="0"/>
          <w:color w:val="5B584E"/>
          <w:sz w:val="19"/>
        </w:rPr>
        <w:t xml:space="preserve"> 룰 점수는 “제재 리스트 직접 매치 +30점”처럼 발동 조건과 근거 법 조항이 고정돼 있어 그 자체로 의심거래보고 문서에 인용 가능하지만, ML 점수는 “모델이 그렇게 학습했다” 이상의 법적 근거가 되지 않는다. 두 점수를 하나로 blending하면 최종 판단이 어느 근거에서 비롯됐는지 잃어버린다.</w:t>
      </w:r>
    </w:p>
    <w:p>
      <w:pPr>
        <w:spacing w:after="160" w:before="0" w:line="298" w:lineRule="auto"/>
      </w:pPr>
      <w:r>
        <w:rPr>
          <w:rFonts w:ascii="맑은 고딕" w:hAnsi="맑은 고딕" w:eastAsia="맑은 고딕"/>
          <w:b/>
          <w:i w:val="0"/>
          <w:color w:val="1A1815"/>
          <w:sz w:val="19"/>
        </w:rPr>
        <w:t>② 두 트랙의 불일치 자체가 신호가 된다.</w:t>
      </w:r>
      <w:r>
        <w:rPr>
          <w:rFonts w:ascii="맑은 고딕" w:hAnsi="맑은 고딕" w:eastAsia="맑은 고딕"/>
          <w:b w:val="0"/>
          <w:i w:val="0"/>
          <w:color w:val="5B584E"/>
          <w:sz w:val="19"/>
        </w:rPr>
        <w:t xml:space="preserve"> 실제로 트랙을 분리해 운영해본 결과, 룰과 ML 등급이 크게 어긋나는 경우 자체를 “사람이 다시 확인해야 할 case”로 표시하는 로직을 별도로 만들 수 있었다 — 처음부터 합쳤다면 이 불일치가 평균값 뒤로 묻혔을 것이다.</w:t>
      </w:r>
    </w:p>
    <w:p>
      <w:pPr>
        <w:spacing w:before="180" w:after="40"/>
      </w:pPr>
      <w:r>
        <w:rPr>
          <w:rFonts w:ascii="맑은 고딕" w:hAnsi="맑은 고딕" w:eastAsia="맑은 고딕"/>
          <w:b/>
          <w:i w:val="0"/>
          <w:color w:val="6E4A08"/>
          <w:sz w:val="20"/>
        </w:rPr>
        <w:t>룰이 담당하는 영역 — 룰북 총 28개</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축</w:t>
            </w:r>
          </w:p>
        </w:tc>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개수</w:t>
            </w:r>
          </w:p>
        </w:tc>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대표 룰 예시</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i w:val="0"/>
                <w:color w:val="1A1815"/>
                <w:sz w:val="17"/>
              </w:rPr>
              <w:t>Compliance</w:t>
              <w:br/>
              <w:t>(법령 임계값)</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6개</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제재 리스트 직접 접촉 · 고액 단일/반복 송금 임계값 초과 · 신고 기준 회피 목적의 소액 분산 송금(구조화)</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i w:val="0"/>
                <w:color w:val="1A1815"/>
                <w:sz w:val="17"/>
              </w:rPr>
              <w:t>Exposure</w:t>
              <w:br/>
              <w:t>(외부 리스트 노출)</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6개</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믹서 서비스 직접 노출 · 2홉 이내 간접 제재 노출 · 알려진 스캠 주소 직접 노출</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i w:val="0"/>
                <w:color w:val="1A1815"/>
                <w:sz w:val="17"/>
              </w:rPr>
              <w:t>Behavior</w:t>
              <w:br/>
              <w:t>(행동/토폴로지 패턴)</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16개</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금액이 유사하게 유지되며 여러 홉을 거치는 다단 전달 · 짧은 시간 내 거래 급증 · 자금이 다수 주소에서 집중/분산되는 패턴</w:t>
            </w:r>
          </w:p>
        </w:tc>
      </w:tr>
    </w:tbl>
    <w:p>
      <w:pPr>
        <w:spacing w:before="180" w:after="40"/>
      </w:pPr>
      <w:r>
        <w:rPr>
          <w:rFonts w:ascii="맑은 고딕" w:hAnsi="맑은 고딕" w:eastAsia="맑은 고딕"/>
          <w:b/>
          <w:i w:val="0"/>
          <w:color w:val="6E4A08"/>
          <w:sz w:val="20"/>
        </w:rPr>
        <w:t>ML이 담당하는 영역 — 피처 15개</w:t>
      </w:r>
    </w:p>
    <w:tbl>
      <w:tblPr>
        <w:tblW w:type="auto" w:w="0"/>
        <w:jc w:val="center"/>
        <w:tblLook w:firstColumn="1" w:firstRow="1" w:lastColumn="0" w:lastRow="0" w:noHBand="0" w:noVBand="1" w:val="04A0"/>
      </w:tblPr>
      <w:tblGrid>
        <w:gridCol w:w="4819"/>
        <w:gridCol w:w="4819"/>
      </w:tblGrid>
      <w:tr>
        <w:tc>
          <w:tcPr>
            <w:tcW w:type="dxa" w:w="4819"/>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범주</w:t>
            </w:r>
          </w:p>
        </w:tc>
        <w:tc>
          <w:tcPr>
            <w:tcW w:type="dxa" w:w="4819"/>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피처 (이름과 의미)</w:t>
            </w:r>
          </w:p>
        </w:tc>
      </w:tr>
      <w:tr>
        <w:tc>
          <w:tcPr>
            <w:tcW w:type="dxa" w:w="481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그래프 구조 (7개)</w:t>
            </w:r>
          </w:p>
        </w:tc>
        <w:tc>
          <w:tcPr>
            <w:tcW w:type="dxa" w:w="481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자금 집중 유입/분산 유출 고유 상대방 수 · 연결 네트워크 크기(노드·엣지 수) · 정상 패턴 유사도 · 송수신 방향 편향 · 거래 활성도</w:t>
            </w:r>
          </w:p>
        </w:tc>
      </w:tr>
      <w:tr>
        <w:tc>
          <w:tcPr>
            <w:tcW w:type="dxa" w:w="481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금액 통계 (4개)</w:t>
            </w:r>
          </w:p>
        </w:tc>
        <w:tc>
          <w:tcPr>
            <w:tcW w:type="dxa" w:w="481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평균/최대 거래 금액 · 누적 송금액/수신액</w:t>
            </w:r>
          </w:p>
        </w:tc>
      </w:tr>
      <w:tr>
        <w:tc>
          <w:tcPr>
            <w:tcW w:type="dxa" w:w="481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신규 설계 피처 (4개)</w:t>
            </w:r>
          </w:p>
        </w:tc>
        <w:tc>
          <w:tcPr>
            <w:tcW w:type="dxa" w:w="4819"/>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peel chain 최대 길이·발생 횟수 · 거래 금액/빈도의 개인 기준선 대비 변동계수</w:t>
            </w:r>
          </w:p>
        </w:tc>
      </w:tr>
    </w:tbl>
    <w:p>
      <w:pPr>
        <w:spacing w:before="180" w:after="40"/>
      </w:pPr>
      <w:r>
        <w:rPr>
          <w:rFonts w:ascii="맑은 고딕" w:hAnsi="맑은 고딕" w:eastAsia="맑은 고딕"/>
          <w:b/>
          <w:i w:val="0"/>
          <w:color w:val="6E4A08"/>
          <w:sz w:val="20"/>
        </w:rPr>
        <w:t>상호 보완 사례 — 시너지는 아니다</w:t>
      </w:r>
    </w:p>
    <w:p>
      <w:pPr>
        <w:spacing w:after="160" w:before="0" w:line="298" w:lineRule="auto"/>
      </w:pPr>
      <w:r>
        <w:rPr>
          <w:rFonts w:ascii="맑은 고딕" w:hAnsi="맑은 고딕" w:eastAsia="맑은 고딕"/>
          <w:b w:val="0"/>
          <w:i w:val="0"/>
          <w:color w:val="5B584E"/>
          <w:sz w:val="19"/>
        </w:rPr>
        <w:t>“결합하면 더 강해지는” 시너지 사례는 확인되지 않았다. 실제로 관찰된 것은 서로 다른 사각지대를 상대가 커버하는 상호 보완 관계였다.</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사례</w:t>
            </w:r>
          </w:p>
        </w:tc>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룰 판단</w:t>
            </w:r>
          </w:p>
        </w:tc>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ML 판단</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학습 데이터에 없던 실제 대형 사고 관련 주소</w:t>
              <w:br/>
              <w:t>(ML이 단독으로 포착)</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중위험</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심각 — 자금 집중 유입 + 평소 대비 불규칙한 거래 패턴</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실제 제재 리스트 등재 주소와의 소액 1회 거래</w:t>
              <w:br/>
              <w:t>(룰/게이팅이 단독으로 포착)</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중위험 → 게이팅 발동</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저위험 — 행동 패턴만 보면 평범</w:t>
            </w:r>
          </w:p>
        </w:tc>
      </w:tr>
    </w:tbl>
    <w:p>
      <w:pPr>
        <w:spacing w:after="160" w:before="0" w:line="298" w:lineRule="auto"/>
      </w:pPr>
      <w:r>
        <w:rPr>
          <w:rFonts w:ascii="맑은 고딕" w:hAnsi="맑은 고딕" w:eastAsia="맑은 고딕"/>
          <w:b w:val="0"/>
          <w:i w:val="0"/>
          <w:color w:val="5B584E"/>
          <w:sz w:val="19"/>
        </w:rPr>
        <w:t>반대 방향의 실패 사례도 실측했다 — 정당하게 자금 집중이 높은 정상 주소(대형 거래소 지갑 등)를 ML이 “심각”으로 오판하는 경우로, 자금 집중도라는 단일 신호에 크게 의존하는 데서 오는 대가이며 화이트리스트로 부분적으로만 보완되고 있다.</w:t>
      </w:r>
    </w:p>
    <w:p>
      <w:pPr>
        <w:spacing w:before="80" w:after="40" w:line="288" w:lineRule="auto"/>
      </w:pPr>
      <w:r>
        <w:rPr>
          <w:rFonts w:ascii="맑은 고딕" w:hAnsi="맑은 고딕" w:eastAsia="맑은 고딕"/>
          <w:b w:val="0"/>
          <w:i/>
          <w:color w:val="6E4A08"/>
          <w:sz w:val="17"/>
        </w:rPr>
        <w:t>↳ 이 분리 구조가 실제로 의미 있으려면, 두 트랙 각각이 “왜”를 사람이 읽을 수 있는 형태로 내놓을 수 있어야 했다.</w:t>
      </w:r>
    </w:p>
    <w:p>
      <w:pPr>
        <w:spacing w:before="320" w:after="60"/>
        <w:pBdr>
          <w:bottom w:val="single" w:sz="5" w:space="2" w:color="DDD8C6"/>
        </w:pBdr>
      </w:pPr>
      <w:r>
        <w:rPr>
          <w:rFonts w:ascii="Consolas" w:hAnsi="Consolas" w:eastAsia="Consolas"/>
          <w:b/>
          <w:i w:val="0"/>
          <w:color w:val="8C5F0C"/>
          <w:sz w:val="24"/>
        </w:rPr>
        <w:t xml:space="preserve">09  </w:t>
      </w:r>
      <w:r>
        <w:rPr>
          <w:rFonts w:ascii="맑은 고딕" w:hAnsi="맑은 고딕" w:eastAsia="맑은 고딕"/>
          <w:b/>
          <w:i w:val="0"/>
          <w:color w:val="1A1815"/>
          <w:sz w:val="27"/>
        </w:rPr>
        <w:t>모델 해석 및 근거 생성</w:t>
      </w:r>
    </w:p>
    <w:p>
      <w:pPr>
        <w:spacing w:after="160" w:before="0" w:line="298" w:lineRule="auto"/>
      </w:pPr>
      <w:r>
        <w:rPr>
          <w:rFonts w:ascii="맑은 고딕" w:hAnsi="맑은 고딕" w:eastAsia="맑은 고딕"/>
          <w:b w:val="0"/>
          <w:i w:val="0"/>
          <w:color w:val="5B584E"/>
          <w:sz w:val="19"/>
        </w:rPr>
        <w:t xml:space="preserve">SHAP(모델의 트리 구조를 근사가 아니라 정확히 순회하는 방식)으로 전체 데이터에 대한 피처 기여도를 계산했다. 상위 3개 피처(자금 집중 유입, 누적 송금액, 네트워크 크기)가 6단계에서 별도로 계산한 순열 중요도와 </w:t>
      </w:r>
      <w:r>
        <w:rPr>
          <w:rFonts w:ascii="맑은 고딕" w:hAnsi="맑은 고딕" w:eastAsia="맑은 고딕"/>
          <w:b/>
          <w:i w:val="0"/>
          <w:color w:val="1A1815"/>
          <w:sz w:val="19"/>
        </w:rPr>
        <w:t>순서까지 정확히 일치</w:t>
      </w:r>
      <w:r>
        <w:rPr>
          <w:rFonts w:ascii="맑은 고딕" w:hAnsi="맑은 고딕" w:eastAsia="맑은 고딕"/>
          <w:b w:val="0"/>
          <w:i w:val="0"/>
          <w:color w:val="5B584E"/>
          <w:sz w:val="19"/>
        </w:rPr>
        <w:t>했다 — 서로 다른 방법론에서 같은 결론이 나와, 특정 방법에서만 우연히 나온 신호가 아님을 교차 검증했다.</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사례</w:t>
            </w:r>
          </w:p>
        </w:tc>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SHAP 근거</w:t>
            </w:r>
          </w:p>
        </w:tc>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7"/>
              </w:rPr>
              <w:t>결과</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정탐 (실제 사기, 심각으로 정확히 분류)</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자금 집중 유입, 정상 패턴 유사도 낮음, 누적 송금액 큼</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점수 99.1</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미탐 (실제 사기인데 저위험) — 모델의 맹점</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자금 집중 유입 없음(위험도 강하게 하강) vs peel chain 감지(위험도 상승, 그러나 압도당함)</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점수 1.1</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오탐 (실제 정상인데 심각으로 분류)</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정탐 사례와 거의 동일한 SHAP 조합</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7"/>
              </w:rPr>
              <w:t>점수 90.7</w:t>
            </w:r>
          </w:p>
        </w:tc>
      </w:tr>
    </w:tbl>
    <w:p>
      <w:pPr>
        <w:spacing w:after="160" w:before="0" w:line="298" w:lineRule="auto"/>
      </w:pPr>
      <w:r>
        <w:rPr>
          <w:rFonts w:ascii="맑은 고딕" w:hAnsi="맑은 고딕" w:eastAsia="맑은 고딕"/>
          <w:b w:val="0"/>
          <w:i w:val="0"/>
          <w:color w:val="5B584E"/>
          <w:sz w:val="19"/>
        </w:rPr>
        <w:t>미탐 사례는 이 모델의 진짜 약점을 보여준다 — peel chain 패턴이 실제로 감지됐음에도 “자금 집중 유입이 없다”는 압도적 신호 하나가 이를 뒤집었다. API 응답에는 이 SHAP 근거(ML 트랙)와 발동 룰·법적 조항(룰 트랙)을 나란히 반환해, 최종 사용자가 “모델이 그렇게 판단했다”가 아니라 두 근거를 직접 비교할 수 있게 했다.</w:t>
      </w:r>
    </w:p>
    <w:p>
      <w:pPr>
        <w:spacing w:before="80" w:after="40" w:line="288" w:lineRule="auto"/>
      </w:pPr>
      <w:r>
        <w:rPr>
          <w:rFonts w:ascii="맑은 고딕" w:hAnsi="맑은 고딕" w:eastAsia="맑은 고딕"/>
          <w:b w:val="0"/>
          <w:i/>
          <w:color w:val="6E4A08"/>
          <w:sz w:val="17"/>
        </w:rPr>
        <w:t>↳ 이 모든 근거가 신뢰할 수 있으려면, 시스템 자체가 실제로 올바르게 동작하는지도 검증돼야 했다.</w:t>
      </w:r>
    </w:p>
    <w:p>
      <w:pPr>
        <w:spacing w:before="320" w:after="60"/>
        <w:pBdr>
          <w:bottom w:val="single" w:sz="5" w:space="2" w:color="DDD8C6"/>
        </w:pBdr>
      </w:pPr>
      <w:r>
        <w:rPr>
          <w:rFonts w:ascii="Consolas" w:hAnsi="Consolas" w:eastAsia="Consolas"/>
          <w:b/>
          <w:i w:val="0"/>
          <w:color w:val="8C5F0C"/>
          <w:sz w:val="24"/>
        </w:rPr>
        <w:t xml:space="preserve">10  </w:t>
      </w:r>
      <w:r>
        <w:rPr>
          <w:rFonts w:ascii="맑은 고딕" w:hAnsi="맑은 고딕" w:eastAsia="맑은 고딕"/>
          <w:b/>
          <w:i w:val="0"/>
          <w:color w:val="1A1815"/>
          <w:sz w:val="27"/>
        </w:rPr>
        <w:t>기술적 검증 — 작동한다고 “알려진” 것과 실제로 작동하는 것</w:t>
      </w:r>
    </w:p>
    <w:p>
      <w:pPr>
        <w:spacing w:after="160" w:before="0" w:line="298" w:lineRule="auto"/>
      </w:pPr>
      <w:r>
        <w:rPr>
          <w:rFonts w:ascii="맑은 고딕" w:hAnsi="맑은 고딕" w:eastAsia="맑은 고딕"/>
          <w:b w:val="0"/>
          <w:i w:val="0"/>
          <w:color w:val="5B584E"/>
          <w:sz w:val="19"/>
        </w:rPr>
        <w:t>설명 가능성을 만드는 일은 “근거를 보여주는 화면을 만드는 것”에서 끝나지 않는다. 그 근거가 실제로 맞는지 검증하는 과정까지가 한 세트라고 판단해, 코드를 읽는 것만으로는 드러나지 않는 문제들을 실제로 시스템을 돌려보며 찾고 고쳤다.</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6"/>
              </w:rPr>
              <w:t>발견</w:t>
            </w:r>
          </w:p>
        </w:tc>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6"/>
              </w:rPr>
              <w:t>근본 원인</w:t>
            </w:r>
          </w:p>
        </w:tc>
        <w:tc>
          <w:tcPr>
            <w:tcW w:type="dxa" w:w="3213"/>
            <w:shd w:val="clear" w:color="auto" w:fill="F3E7C7"/>
            <w:tcBorders>
              <w:top w:val="single" w:sz="4" w:color="DDD8C6"/>
              <w:left w:val="single" w:sz="4" w:color="DDD8C6"/>
              <w:bottom w:val="single" w:sz="4" w:color="DDD8C6"/>
              <w:right w:val="single" w:sz="4" w:color="DDD8C6"/>
            </w:tcBorders>
            <w:vAlign w:val="center"/>
          </w:tcPr>
          <w:p>
            <w:r>
              <w:rPr>
                <w:rFonts w:ascii="맑은 고딕" w:hAnsi="맑은 고딕" w:eastAsia="맑은 고딕"/>
                <w:b/>
                <w:i w:val="0"/>
                <w:color w:val="6E4A08"/>
                <w:sz w:val="16"/>
              </w:rPr>
              <w:t>조치 및 결과</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6"/>
              </w:rPr>
              <w:t>룰북에 자금 집중/분산 탐지 룰이 있었지만, 실제 데이터로 돌려보니 고위험·심각 등급 재현율이 사실상 0%였다.</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6"/>
              </w:rPr>
              <w:t>다단계 거래에서 “대상 주소”를 판별하는 로직이 특정 조건에서 잘못된 필드를 우선시하고 있었다.</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6"/>
              </w:rPr>
              <w:t>주소 해석 우선순위를 고치자 재현율이 48.4%로 회복됐다 — 라벨링된 데이터를 직접 통과시켜야 드러나는 문제였다.</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6"/>
              </w:rPr>
              <w:t>로컬 개발 환경에서는 멀쩡했던 백엔드가, 실제 컨테이너 전체 스택으로 띄워 테스트하자 API 요청 하나에 외부 API 호출이 통제 불가능하게 폭증했다.</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6"/>
              </w:rPr>
              <w:t>다단계 그래프 탐색 로직이 “방향당 최대 연결 수” 제한값을 인자로 받기만 하고 실제로는 적용하지 않고 있었다.</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6"/>
              </w:rPr>
              <w:t>제한을 실제로 적용하고 재시도 로직을 추가했다 — 이전에는 완료 자체가 안 되던 시나리오가 에러 없이 정상 완료됐다.</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6"/>
              </w:rPr>
              <w:t>화면에는 “어떤 룰이 발동했는지”만 보이고 “왜 발동했는지”는 보이지 않았다.</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6"/>
              </w:rPr>
              <w:t>룰의 이름·축·심각도를 내부적으로 이미 계산해두고도, 응답을 만드는 마지막 단계에서 이 정보를 잘라내고 있었다.</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6"/>
              </w:rPr>
              <w:t>이미 계산돼 있던 데이터를 그대로 노출시키는 것만으로 해결됐다.</w:t>
            </w:r>
          </w:p>
        </w:tc>
      </w:tr>
      <w:tr>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6"/>
              </w:rPr>
              <w:t>배포용 컨테이너 이미지로 실행하면 모델을 불러오지 못해 ML 판단이 계산되지 않았다.</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6"/>
              </w:rPr>
              <w:t>빌드 설정 파일 하나가 확장자만 보고 모델 메타데이터 파일을 빌드 대상에서 조용히 제외시키고 있었다.</w:t>
            </w:r>
          </w:p>
        </w:tc>
        <w:tc>
          <w:tcPr>
            <w:tcW w:type="dxa" w:w="3213"/>
            <w:tcBorders>
              <w:top w:val="single" w:sz="4" w:color="DDD8C6"/>
              <w:left w:val="single" w:sz="4" w:color="DDD8C6"/>
              <w:bottom w:val="single" w:sz="4" w:color="DDD8C6"/>
              <w:right w:val="single" w:sz="4" w:color="DDD8C6"/>
            </w:tcBorders>
            <w:vAlign w:val="center"/>
          </w:tcPr>
          <w:p>
            <w:pPr>
              <w:spacing w:line="276" w:lineRule="auto"/>
            </w:pPr>
            <w:r>
              <w:rPr>
                <w:rFonts w:ascii="맑은 고딕" w:hAnsi="맑은 고딕" w:eastAsia="맑은 고딕"/>
                <w:b w:val="0"/>
                <w:i w:val="0"/>
                <w:color w:val="5B584E"/>
                <w:sz w:val="16"/>
              </w:rPr>
              <w:t>로컬 실행에서는 전혀 드러나지 않았고, 실제 컨테이너 배포 테스트에서만 발견됐다.</w:t>
            </w:r>
          </w:p>
        </w:tc>
      </w:tr>
    </w:tbl>
    <w:p>
      <w:pPr>
        <w:spacing w:after="160" w:before="0" w:line="298" w:lineRule="auto"/>
      </w:pPr>
      <w:r>
        <w:rPr>
          <w:rFonts w:ascii="맑은 고딕" w:hAnsi="맑은 고딕" w:eastAsia="맑은 고딕"/>
          <w:b w:val="0"/>
          <w:i w:val="0"/>
          <w:color w:val="5B584E"/>
          <w:sz w:val="19"/>
        </w:rPr>
        <w:t>네 사례 모두 “기능이 있다”와 “기능이 실제로 작동한다”는 다른 주장이라는 걸 보여준다. 이 프로젝트에서 나온 모든 수치는 위와 같은 검증을 거친 뒤에만 문서에 남겼다.</w:t>
      </w:r>
    </w:p>
    <w:p>
      <w:pPr>
        <w:spacing w:before="80" w:after="40" w:line="288" w:lineRule="auto"/>
      </w:pPr>
      <w:r>
        <w:rPr>
          <w:rFonts w:ascii="맑은 고딕" w:hAnsi="맑은 고딕" w:eastAsia="맑은 고딕"/>
          <w:b w:val="0"/>
          <w:i/>
          <w:color w:val="6E4A08"/>
          <w:sz w:val="17"/>
        </w:rPr>
        <w:t>↳ 그럼에도 아직 풀리지 않은 문제들은 남아있다.</w:t>
      </w:r>
    </w:p>
    <w:p>
      <w:pPr>
        <w:spacing w:before="320" w:after="60"/>
        <w:pBdr>
          <w:bottom w:val="single" w:sz="5" w:space="2" w:color="DDD8C6"/>
        </w:pBdr>
      </w:pPr>
      <w:r>
        <w:rPr>
          <w:rFonts w:ascii="Consolas" w:hAnsi="Consolas" w:eastAsia="Consolas"/>
          <w:b/>
          <w:i w:val="0"/>
          <w:color w:val="8C5F0C"/>
          <w:sz w:val="24"/>
        </w:rPr>
        <w:t xml:space="preserve">—  </w:t>
      </w:r>
      <w:r>
        <w:rPr>
          <w:rFonts w:ascii="맑은 고딕" w:hAnsi="맑은 고딕" w:eastAsia="맑은 고딕"/>
          <w:b/>
          <w:i w:val="0"/>
          <w:color w:val="1A1815"/>
          <w:sz w:val="27"/>
        </w:rPr>
        <w:t>결론 및 한계</w:t>
      </w:r>
    </w:p>
    <w:p>
      <w:pPr>
        <w:spacing w:after="160" w:before="0" w:line="298" w:lineRule="auto"/>
      </w:pPr>
      <w:r>
        <w:rPr>
          <w:rFonts w:ascii="맑은 고딕" w:hAnsi="맑은 고딕" w:eastAsia="맑은 고딕"/>
          <w:b w:val="0"/>
          <w:i w:val="0"/>
          <w:color w:val="5B584E"/>
          <w:sz w:val="19"/>
        </w:rPr>
        <w:t>정확도만으로 이 프로젝트를 평가한다면 요점을 놓친다. 이 프로젝트가 검증하려 한 것은 “룰과 ML을 분리하고, 각 트랙의 근거를 있는 그대로 드러내면서도, 두 시스템이 실제로 신뢰할 수 있게 동작하는가”였다 — 그리고 그 답은 예 또는 아니오가 아니라, 위에서 다룬 구체적인 수치와 사례들이다.</w:t>
      </w:r>
    </w:p>
    <w:tbl>
      <w:tblPr>
        <w:tblW w:type="auto" w:w="0"/>
        <w:tblLook w:firstColumn="1" w:firstRow="1" w:lastColumn="0" w:lastRow="0" w:noHBand="0" w:noVBand="1" w:val="04A0"/>
      </w:tblPr>
      <w:tblGrid>
        <w:gridCol w:w="9638"/>
      </w:tblGrid>
      <w:tr>
        <w:tc>
          <w:tcPr>
            <w:tcW w:type="dxa" w:w="9638"/>
            <w:shd w:val="clear" w:color="auto" w:fill="F2F1EC"/>
            <w:tcBorders>
              <w:top w:val="single" w:sz="6" w:color="C9B98A"/>
              <w:left w:val="single" w:sz="6" w:color="C9B98A"/>
              <w:bottom w:val="single" w:sz="6" w:color="C9B98A"/>
              <w:right w:val="single" w:sz="6" w:color="C9B98A"/>
            </w:tcBorders>
          </w:tcPr>
          <w:p>
            <w:pPr>
              <w:spacing w:before="60" w:after="60" w:line="324" w:lineRule="auto"/>
            </w:pPr>
            <w:r>
              <w:rPr>
                <w:rFonts w:ascii="맑은 고딕" w:hAnsi="맑은 고딕" w:eastAsia="맑은 고딕"/>
                <w:b/>
                <w:i w:val="0"/>
                <w:color w:val="99332E"/>
                <w:sz w:val="16"/>
              </w:rPr>
              <w:t xml:space="preserve">한계  </w:t>
            </w:r>
            <w:r>
              <w:rPr>
                <w:rFonts w:ascii="맑은 고딕" w:hAnsi="맑은 고딕" w:eastAsia="맑은 고딕"/>
                <w:b w:val="0"/>
                <w:i w:val="0"/>
                <w:color w:val="5B584E"/>
                <w:sz w:val="18"/>
              </w:rPr>
              <w:t>• 시기 민감 피처(제재·믹서 근접도)는 학습 데이터의 시대적 한계로 통계적 학습 신호를 확보하지 못해, ML 학습 피처가 아니라 게이팅 룰로 우회 처리했다. 더 최근 시기를 포괄하는 데이터로 재검증이 필요하다.</w:t>
            </w:r>
            <w:r>
              <w:rPr>
                <w:rFonts w:ascii="맑은 고딕" w:hAnsi="맑은 고딕" w:eastAsia="맑은 고딕"/>
                <w:b w:val="0"/>
                <w:i w:val="0"/>
                <w:color w:val="5B584E"/>
                <w:sz w:val="18"/>
              </w:rPr>
              <w:br/>
              <w:t>• 자금 집중 신호에 대한 의존도가 높아, 정당하게 연결이 많은 정상 주소(거래소 등)의 오탐 위험이 상존한다. 화이트리스트로 부분적으로 보완하고 있으나 완전히 해결되지 않았다.</w:t>
            </w:r>
            <w:r>
              <w:rPr>
                <w:rFonts w:ascii="맑은 고딕" w:hAnsi="맑은 고딕" w:eastAsia="맑은 고딕"/>
                <w:b w:val="0"/>
                <w:i w:val="0"/>
                <w:color w:val="5B584E"/>
                <w:sz w:val="18"/>
              </w:rPr>
              <w:br/>
              <w:t>• 최근 시기 검증에 사용한 실사건 표본은 소수 사건에 집중돼 있어 사건 유형의 다양성이 낮다.</w:t>
            </w:r>
            <w:r>
              <w:rPr>
                <w:rFonts w:ascii="맑은 고딕" w:hAnsi="맑은 고딕" w:eastAsia="맑은 고딕"/>
                <w:b w:val="0"/>
                <w:i w:val="0"/>
                <w:color w:val="5B584E"/>
                <w:sz w:val="18"/>
              </w:rPr>
              <w:br/>
              <w:t>• 더 큰 규모의, 독립적으로 교차검증된 벤치마크 데이터셋으로 재검증이 아직 진행 중이다.</w:t>
            </w:r>
          </w:p>
        </w:tc>
      </w:tr>
    </w:tbl>
    <w:p>
      <w:pPr>
        <w:spacing w:after="0" w:before="240" w:line="298" w:lineRule="auto"/>
      </w:pPr>
      <w:r>
        <w:rPr>
          <w:rFonts w:ascii="맑은 고딕" w:hAnsi="맑은 고딕" w:eastAsia="맑은 고딕"/>
          <w:b w:val="0"/>
          <w:i w:val="0"/>
          <w:color w:val="8A8577"/>
          <w:sz w:val="16"/>
        </w:rPr>
        <w:t>TRACE-X — Risk Engineering Portfolio</w:t>
      </w:r>
    </w:p>
    <w:sectPr w:rsidR="00FC693F" w:rsidRPr="0006063C" w:rsidSect="00034616">
      <w:pgSz w:w="11906" w:h="16838"/>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