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Юридическое заключение по результатам сравнения</w:t>
      </w:r>
    </w:p>
    <w:p>
      <w:r>
        <w:t>Дата отчета: 2026-03-20 11:27:02</w:t>
      </w:r>
    </w:p>
    <w:p>
      <w:r>
        <w:t>Документ: new_test.docx</w:t>
      </w:r>
    </w:p>
    <w:p>
      <w:r>
        <w:t>------------------------------</w:t>
      </w:r>
    </w:p>
    <w:p>
      <w:pPr>
        <w:pStyle w:val="Heading1"/>
      </w:pPr>
      <w:r>
        <w:rPr>
          <w:color w:val="C80000"/>
        </w:rPr>
        <w:t>1. КРИТИЧЕСКИЕ РИСКИ (КРАСНАЯ ЗОНА)</w:t>
      </w:r>
    </w:p>
    <w:p>
      <w:pPr>
        <w:pStyle w:val="Heading2"/>
      </w:pPr>
      <w:r>
        <w:t>Пункт 5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Ответственность за нарушение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1011 требует конкретного регулирования ответственности за незаконное использование секрета производства (ноу-хау). Добавленный элемент содержит лишь общий заголовок «Ответственность за нарушение» без указания, какие именно действия считаются нарушением и какие виды ответственности (гражданская, административная, уголовная) предусмотрены. Такое содержание не соответствует требованиям закона и фактически противоречит ему отсутствием обязательных положений.</w:t>
      </w:r>
    </w:p>
    <w:p>
      <w:r>
        <w:rPr>
          <w:b/>
        </w:rPr>
        <w:t xml:space="preserve">Основание: </w:t>
      </w:r>
      <w:r>
        <w:t>H11300016_1357765200, ст.1011</w:t>
      </w:r>
    </w:p>
    <w:p>
      <w:r>
        <w:rPr>
          <w:b/>
        </w:rPr>
        <w:t xml:space="preserve">Решение: </w:t>
      </w:r>
      <w:r>
        <w:t>Заменить заголовок на полноценный пункт, в котором перечислены виды ответственности (гражданско-правовая, административная, уголовная) за незаконное использование ноу-хау, с указанием оснований и мер ответственности в соответствии с законодательством.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1"/>
      </w:pPr>
      <w:r>
        <w:rPr>
          <w:color w:val="DAA520"/>
        </w:rPr>
        <w:t>2. СРЕДНИЕ РИСКИ (ЖЕЛТАЯ ЗОНА)</w:t>
      </w:r>
    </w:p>
    <w:p>
      <w:pPr>
        <w:pStyle w:val="Heading2"/>
      </w:pPr>
      <w:r>
        <w:t>Пункт 2.1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разрабатываемых технологиях.</w:t>
            </w:r>
          </w:p>
        </w:tc>
        <w:tc>
          <w:tcPr>
            <w:tcW w:type="dxa" w:w="4320"/>
          </w:tcPr>
          <w:p>
            <w:r>
              <w:t>СТАЛО: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задолженности по выплате заработной платы - сведения о нарушениях трудовой дисциплины</w:t>
            </w:r>
          </w:p>
        </w:tc>
      </w:tr>
    </w:tbl>
    <w:p>
      <w:r>
        <w:rPr>
          <w:b/>
        </w:rPr>
        <w:br/>
        <w:t xml:space="preserve">Анализ LLM: </w:t>
      </w:r>
      <w:r>
        <w:t>Предоставленная статья 11 (часть 2) регулирует ответственность за препятствование правомерному доступу к сведениям, составляющим коммерческую тайну, но не определяет перечень сведений, которые могут относиться к коммерческой тайне. Поэтому добавление сведений о задолженности по выплате заработной платы и нарушениях трудовой дисциплины не противоречит данному пункту закона.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С учётом только этой статьи изменение допустимо; при необходимости уточнить правовую основу классификации таких сведений, следует обратиться к другим нормативным актам, регулирующим коммерческую тайну и трудовые отношения.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3.2 → 5.1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 разглашение коммерческой тайны работники могут быть привлечены к дисциплинарной ответственности.</w:t>
            </w:r>
          </w:p>
        </w:tc>
        <w:tc>
          <w:tcPr>
            <w:tcW w:type="dxa" w:w="4320"/>
          </w:tcPr>
          <w:p>
            <w:r>
              <w:t>СТАЛО:</w:t>
              <w:br/>
              <w:t>За разглашение коммерческой тайны работник обязан возместить упущенную выгоду Общества.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18 закона лишь указывает, что за разглашение коммерческой тайны лица несут ответственность в соответствии с законодательными актами, не ограничивая её только дисциплинарной ответственностью. Предписание о возмещении упущенной выгоды соответствует возможным формам гражданско-правовой ответственности, поэтому изменение не противоречит закону.</w:t>
      </w:r>
    </w:p>
    <w:p>
      <w:r>
        <w:rPr>
          <w:b/>
        </w:rPr>
        <w:t xml:space="preserve">Основание: </w:t>
      </w:r>
      <w:r>
        <w:t>H11300016_1357765200, ст.18</w:t>
      </w:r>
    </w:p>
    <w:p>
      <w:r>
        <w:rPr>
          <w:b/>
        </w:rPr>
        <w:t xml:space="preserve">Решение: </w:t>
      </w:r>
      <w:r>
        <w:t>Текст можно оставить без изменений, так как он соответствует требованиям закона.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4.1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Доступ к сведениям, составляющим коммерческую тайну, предоставляется работникам в соответствии с их должностными обязанностями.</w:t>
            </w:r>
          </w:p>
        </w:tc>
        <w:tc>
          <w:tcPr>
            <w:tcW w:type="dxa" w:w="4320"/>
          </w:tcPr>
          <w:p>
            <w:r>
              <w:t>СТАЛО:</w:t>
              <w:br/>
              <w:t>Доступ к сведениям, составляющим коммерческую тайну, предоставляется только работникам, имеющим допуск к государственной тайне.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часть 2 закона лишь устанавливает ответственность за препятствование правомерному доступу к сведениям, составляющим коммерческую тайну, но не ограничивает сам доступ только работниками, имеющими допуск к государственной тайне. Новое требование вводит более строгий критерий, не предусмотренный законом, тем самым противоречит его нормам.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Вернуть формулировку, позволяющую доступ к коммерческой тайне в соответствии с должностными обязанностями работников, без обязательного требования наличия допуска к государственной тайне, либо добавить отдельный нормативный акт, регулирующий такой допуск, если он действительно необходим.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6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Внесение изменений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фрагмент содержит лишь фразу «Внесение изменений», тогда как статья закона требует полное указание «Внесение изменений и дополнений в кодексы». Отсутствует часть «и дополнений в кодексы», поэтому текст не соответствует требуемой формулировке.</w:t>
      </w:r>
    </w:p>
    <w:p>
      <w:r>
        <w:rPr>
          <w:b/>
        </w:rPr>
        <w:t xml:space="preserve">Основание: </w:t>
      </w:r>
      <w:r>
        <w:t>C:\Users\Lenovo\Downloads\H11300016_1357765200, ст.21</w:t>
      </w:r>
    </w:p>
    <w:p>
      <w:r>
        <w:rPr>
          <w:b/>
        </w:rPr>
        <w:t xml:space="preserve">Решение: </w:t>
      </w:r>
      <w:r>
        <w:t>Дополнить добавленный текст до полного соответствия статье: «Внесение изменений и дополнений в кодексы».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1"/>
      </w:pPr>
      <w:r>
        <w:rPr>
          <w:color w:val="228B22"/>
        </w:rPr>
        <w:t>3. НИЗКИЙ РИСК / ТЕХНИЧЕСКИЕ ПРАВКИ</w:t>
      </w:r>
    </w:p>
    <w:p>
      <w:pPr>
        <w:pStyle w:val="Heading2"/>
      </w:pPr>
      <w:r>
        <w:t>Пункт —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от 15.01.2025 № 5</w:t>
            </w:r>
          </w:p>
        </w:tc>
        <w:tc>
          <w:tcPr>
            <w:tcW w:type="dxa" w:w="4320"/>
          </w:tcPr>
          <w:p>
            <w:r>
              <w:t>СТАЛО:</w:t>
              <w:br/>
              <w:t>от 20.03.2026 № 12</w:t>
            </w:r>
          </w:p>
        </w:tc>
      </w:tr>
    </w:tbl>
    <w:p>
      <w:r>
        <w:rPr>
          <w:b/>
        </w:rPr>
        <w:br/>
        <w:t xml:space="preserve">Анализ LLM: </w:t>
      </w:r>
      <w:r>
        <w:t>Согласно статье 21 закона о внесении изменений и дополнений в кодексы, изменения должны оформляться датой их принятия и присваиваться порядковый номер, который увеличивается с каждой новой редакцией. Новая дата 20.03.2026 позже предыдущей 15.01.2025, а номер изменён с 5 на 12, что соответствует требованию последовательного нумерования.</w:t>
      </w:r>
    </w:p>
    <w:p>
      <w:r>
        <w:rPr>
          <w:b/>
        </w:rPr>
        <w:t xml:space="preserve">Основание: </w:t>
      </w:r>
      <w:r>
        <w:t>C:\Users\Lenovo\Downloads\H11300016_1357765200, ст.21</w:t>
      </w:r>
    </w:p>
    <w:p>
      <w:r>
        <w:rPr>
          <w:b/>
        </w:rPr>
        <w:t xml:space="preserve">Решение: </w:t>
      </w:r>
      <w:r>
        <w:t>Изменения соответствуют требованиям закона; дальнейших корректировок не требуется.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4.2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Допуск работников осуществляется на основании приказа директора.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Заключительные положения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5.1 → 6.1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5.2 → 6.2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3.2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Работники обязаны подписать обязательство о неразглашении коммерческой тайны в течение 3 дней с даты ознакомления с Положением.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16 требует от работников подписать обязательство о неразглашении коммерческой тайны по требованию нанимателя, но не устанавливает конкретный срок. Добавление срока в 3 дня является дополнительным внутренним требованием и не противоречит закону, так как закон не запрещает вводить более строгие сроки.</w:t>
      </w:r>
    </w:p>
    <w:p>
      <w:r>
        <w:rPr>
          <w:b/>
        </w:rPr>
        <w:t xml:space="preserve">Основание: </w:t>
      </w:r>
      <w:r>
        <w:t>H11300016_1357765200, ст.16</w:t>
      </w:r>
    </w:p>
    <w:p>
      <w:r>
        <w:rPr>
          <w:b/>
        </w:rPr>
        <w:t xml:space="preserve">Решение: </w:t>
      </w:r>
      <w:r>
        <w:t>Сохранить требование о подписании обязательства, но уточнить, что срок в 3 дня является внутренним регламентом организации и не нарушает закон.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Решение о допуске принимает служба безопасности единолично.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3 регулирует лишь условия и порядок отнесения информации к служебной тайне, но не устанавливает, каким органом должно приниматься решение о допуске. Поэтому добавленное положение о единоличном решении службы безопасности не противоречит указанному требованию закона.</w:t>
      </w:r>
    </w:p>
    <w:p>
      <w:r>
        <w:rPr>
          <w:b/>
        </w:rPr>
        <w:t xml:space="preserve">Основание: </w:t>
      </w:r>
      <w:r>
        <w:t>C:\Users\Lenovo\Downloads\H11300016_1357765200, ст.3</w:t>
      </w:r>
    </w:p>
    <w:p>
      <w:r>
        <w:rPr>
          <w:b/>
        </w:rPr>
        <w:t xml:space="preserve">Решение: </w:t>
      </w:r>
      <w:r>
        <w:t>Изменение не требует исправления с точки зрения данной статьи.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