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11:38:41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В статье указаны общие требования к сведениям, составляющим коммерческую тайну, но не допускается включать в неё сведения, относящиеся к персональным данным работников (задолженность по выплате заработной платы, нарушения трудовой дисциплины). Такие сведения подпадают под действие законодательства о защите персональных данных, а не под режим коммерческой тайны, поэтому их включение противоречит правовой логике.</w:t>
      </w:r>
    </w:p>
    <w:p>
      <w:r>
        <w:rPr>
          <w:b/>
        </w:rPr>
        <w:t xml:space="preserve">Основание: </w:t>
      </w:r>
      <w:r>
        <w:t>H11300016_1357765200, ст.1 (часть 2)</w:t>
      </w:r>
    </w:p>
    <w:p>
      <w:r>
        <w:rPr>
          <w:b/>
        </w:rPr>
        <w:t xml:space="preserve">Решение: </w:t>
      </w:r>
      <w:r>
        <w:t>Удалить из перечня коммерческой тайны сведения о задолженности по выплате заработной платы и о нарушениях трудовой дисциплины; при необходимости регулировать их обработку отдельным нормативным актом о защите персональных данных работников.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16 регулирует обязанности работников по соблюдению конфиденциальности коммерческой тайны и не ограничивает порядок предоставления доступа к такой информации. Требование, чтобы доступ имели только работники с допуском к государственной тайне, является более строгим внутренним правилом работодателя, но не противоречит положению закона, поскольку закон не запрещает вводить дополнительные ограничения, если они не нарушают права работников и не препятствуют выполнению их трудовых обязанностей.</w:t>
      </w:r>
    </w:p>
    <w:p>
      <w:r>
        <w:rPr>
          <w:b/>
        </w:rPr>
        <w:t xml:space="preserve">Основание: </w:t>
      </w:r>
      <w:r>
        <w:t>H11300016_1357765200, ст.16</w:t>
      </w:r>
    </w:p>
    <w:p>
      <w:r>
        <w:rPr>
          <w:b/>
        </w:rPr>
        <w:t xml:space="preserve">Решение: </w:t>
      </w:r>
      <w:r>
        <w:t>Если требование о допуске к государственной тайне вводится, следует обеспечить, чтобы оно не ограничивало выполнение служебных обязанностей работников и не нарушало их трудовые права. При необходимости уточнить, что данное ограничение является внутренним регламентом работодателя, а не обязательным требованием закона.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представляет собой лишь заголовок «Ответственность за нарушение» и не содержит конкретных положений, противоречащих статье 1011. Однако он не раскрывает требуемые законом детали ответственности за незаконное использование секрета производства, поэтому формально не нарушает закон, но и не соответствует его требованиям.</w:t>
      </w:r>
    </w:p>
    <w:p>
      <w:r>
        <w:rPr>
          <w:b/>
        </w:rPr>
        <w:t xml:space="preserve">Основание: </w:t>
      </w:r>
      <w:r>
        <w:t>H11300016_1357765200, ст.1011</w:t>
      </w:r>
    </w:p>
    <w:p>
      <w:r>
        <w:rPr>
          <w:b/>
        </w:rPr>
        <w:t xml:space="preserve">Решение: </w:t>
      </w:r>
      <w:r>
        <w:t>Разработать и добавить конкретный текст, описывающий виды ответственности (штрафы, административные и уголовные санкции) за незаконное использование ноу-хау в соответствии с пунктами статьи 1011.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предписывает, что любые правовые акты должны предусматривать как внесение изменений, так и дополнений в кодексы. Добавленный текст содержит лишь фразу «Внесение изменений», не упоминая о дополнениях, что делает его неполным и противоречит требованию закона.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Дополнить текст до полного соответствия закону, например: «Внесение изменений и дополнений» или явно указать, какие дополнения вносятся.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затрагивает лишь дату и номер документа (от 15.01.2025 № 5 → от 20.03.2026 № 12). Статья 1010 требует указания даты и номера регистрации секрета производства, но не устанавливает ограничений на их конкретные значения, если они соответствуют фактической дате и порядковому номеру регистрации. Поэтому изменение не противоречит требованиям закона.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Убедиться, что дата 20.03.2026 действительно соответствует дате регистрации секрета, а номер 12 – корректному порядковому номеру в реестре.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устанавливает, что за разглашение коммерческой тайны наступает ответственность в соответствии с законодательными актами, не уточняя её форму. Предложенный вариант, предусматривающий возмещение упущенной выгоды, является одной из возможных форм ответственности (гражданско-правовой) и не противоречит закону, хотя и не охватывает другие виды ответственности, такие как дисциплинарные меры.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Для полного соответствия закону добавить, что ответственность может включать как дисциплинарные, так и гражданско-правовые меры (например, возмещение убытков).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16 требует от работников подписать обязательство о неразглашении коммерческой тайны по требованию нанимателя, но не устанавливает конкретный срок. Добавление срока в 3 дня лишь уточняет порядок выполнения требования и не противоречит закону.</w:t>
      </w:r>
    </w:p>
    <w:p>
      <w:r>
        <w:rPr>
          <w:b/>
        </w:rPr>
        <w:t xml:space="preserve">Основание: </w:t>
      </w:r>
      <w:r>
        <w:t>C:\Users\Lenovo\Downloads\H11300016_1357765200, ст.16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убедившись, что требование нанимателя оформлено до этого срока; при необходимости добавить формулировку о возможности продления срока в исключительных случаях.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регулирует ответственность за нарушение коммерческой тайны и препятствование правомерным действиям органов, но не устанавливает порядок принятия решения о допуске. Добавленный текст о том, что решение о допуске принимает служба безопасности единолично, не противоречит требованиям статьи.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Изменение не требует корректировки в контексте данной статьи, однако при необходимости уточнить порядок принятия решения о допуске в соответствующих нормативных актах.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