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Юридическое заключение по результатам сравнения</w:t>
      </w:r>
    </w:p>
    <w:p>
      <w:r>
        <w:t>Дата отчета: 2026-03-20 12:09:12</w:t>
      </w:r>
    </w:p>
    <w:p>
      <w:r>
        <w:t>Документ: old_test.docx</w:t>
      </w:r>
    </w:p>
    <w:p>
      <w:r>
        <w:t>------------------------------</w:t>
      </w:r>
    </w:p>
    <w:p>
      <w:pPr>
        <w:pStyle w:val="Heading1"/>
      </w:pPr>
      <w:r>
        <w:rPr>
          <w:color w:val="C80000"/>
        </w:rPr>
        <w:t>1. КРИТИЧЕСКИЕ РИСКИ (КРАСНАЯ ЗОНА)</w:t>
      </w:r>
    </w:p>
    <w:p>
      <w:pPr>
        <w:pStyle w:val="Heading2"/>
      </w:pPr>
      <w:r>
        <w:t>Пункт — (modified)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БЫЛО:</w:t>
              <w:br/>
              <w:t>от 20.03.2026 № 12</w:t>
            </w:r>
          </w:p>
        </w:tc>
        <w:tc>
          <w:tcPr>
            <w:tcW w:type="dxa" w:w="4320"/>
          </w:tcPr>
          <w:p>
            <w:r>
              <w:t>СТАЛО:</w:t>
              <w:br/>
              <w:t>от 15.01.2025 № 5</w:t>
            </w:r>
          </w:p>
        </w:tc>
      </w:tr>
    </w:tbl>
    <w:p>
      <w:r>
        <w:rPr>
          <w:b/>
        </w:rPr>
        <w:br/>
        <w:t xml:space="preserve">Анализ LLM: </w:t>
      </w:r>
      <w:r>
        <w:t>Изменение даты и номера документа относится к формальному оформлению, а статья 1010 регулирует условия правовой охраны секрета производства (ноу-хау). Данные изменения не влияют на выполнение требований статьи (наличие конфиденциальности, экономической ценности, ограниченного доступа и т.д.), поэтому противоречия нет.</w:t>
      </w:r>
    </w:p>
    <w:p>
      <w:r>
        <w:rPr>
          <w:b/>
        </w:rPr>
        <w:t xml:space="preserve">Основание: </w:t>
      </w:r>
      <w:r>
        <w:t>H11300016_1357765200, ст.1010</w:t>
      </w:r>
    </w:p>
    <w:p>
      <w:r>
        <w:rPr>
          <w:b/>
        </w:rPr>
        <w:t xml:space="preserve">Решение: </w:t>
      </w:r>
      <w:r>
        <w:t>Сохранить текущий вариант изменения, так как он не нарушает требований статьи 1010. При необходимости уточнить, что дата и номер относятся к внутреннему учёту, а не к моменту установления секрета.</w:t>
      </w:r>
    </w:p>
    <w:p>
      <w:r>
        <w:rPr>
          <w:b/>
          <w:color w:val="C80000"/>
        </w:rPr>
        <w:t xml:space="preserve">Статус: </w:t>
      </w:r>
      <w:r>
        <w:rPr>
          <w:i/>
        </w:rPr>
        <w:t>Критическая ошибка. Требуется исправление.</w:t>
      </w:r>
    </w:p>
    <w:p/>
    <w:p>
      <w:pPr>
        <w:pStyle w:val="Heading2"/>
      </w:pPr>
      <w:r>
        <w:t>Пункт 3.2 (modified)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БЫЛО:</w:t>
              <w:br/>
            </w:r>
          </w:p>
        </w:tc>
        <w:tc>
          <w:tcPr>
            <w:tcW w:type="dxa" w:w="4320"/>
          </w:tcPr>
          <w:p>
            <w:r>
              <w:t>СТАЛО:</w:t>
              <w:br/>
              <w:t>За разглашение коммерческой тайны работники могут быть привлечены к дисциплинарной ответственности.</w:t>
            </w:r>
          </w:p>
        </w:tc>
      </w:tr>
    </w:tbl>
    <w:p>
      <w:r>
        <w:rPr>
          <w:b/>
        </w:rPr>
        <w:br/>
        <w:t xml:space="preserve">Анализ LLM: </w:t>
      </w:r>
      <w:r>
        <w:t>Закон устанавливает, что за разглашение коммерческой тайны физические и юридические лица, в том числе их работники, несут ответственность, предусмотренную законодательными актами (гражданскую, административную, уголовную). Добавленный текст ограничивает ответственность только дисциплинарной, что противоречит требованию закона о более широкой ответственности.</w:t>
      </w:r>
    </w:p>
    <w:p>
      <w:r>
        <w:rPr>
          <w:b/>
        </w:rPr>
        <w:t xml:space="preserve">Основание: </w:t>
      </w:r>
      <w:r>
        <w:t>C:\Users\Lenovo\Downloads\H11300016_1357765200, ст.18</w:t>
      </w:r>
    </w:p>
    <w:p>
      <w:r>
        <w:rPr>
          <w:b/>
        </w:rPr>
        <w:t xml:space="preserve">Решение: </w:t>
      </w:r>
      <w:r>
        <w:t>Изменить формулировку на: "За разглашение коммерческой тайны работники могут быть привлечены к ответственности, предусмотренной законодательными актами, включая дисциплинарную, административную, гражданскую и уголовную ответственность."</w:t>
      </w:r>
    </w:p>
    <w:p>
      <w:r>
        <w:rPr>
          <w:b/>
          <w:color w:val="C80000"/>
        </w:rPr>
        <w:t xml:space="preserve">Статус: </w:t>
      </w:r>
      <w:r>
        <w:rPr>
          <w:i/>
        </w:rPr>
        <w:t>Критическая ошибка. Требуется исправление.</w:t>
      </w:r>
    </w:p>
    <w:p/>
    <w:p>
      <w:pPr>
        <w:pStyle w:val="Heading2"/>
      </w:pPr>
      <w:r>
        <w:t>Пункт 5 (modified)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БЫЛО:</w:t>
              <w:br/>
            </w:r>
          </w:p>
        </w:tc>
        <w:tc>
          <w:tcPr>
            <w:tcW w:type="dxa" w:w="4320"/>
          </w:tcPr>
          <w:p>
            <w:r>
              <w:t>СТАЛО:</w:t>
              <w:br/>
              <w:t>Заключительные положения</w:t>
            </w:r>
          </w:p>
        </w:tc>
      </w:tr>
    </w:tbl>
    <w:p>
      <w:r>
        <w:rPr>
          <w:b/>
        </w:rPr>
        <w:br/>
        <w:t xml:space="preserve">Анализ LLM: </w:t>
      </w:r>
      <w:r>
        <w:t>Добавленный фрагмент представляет собой лишь заголовок «Заключительные положения» и не содержит положений, регулирующих условия правовой охраны секрета производства (ноу-хау). Поэтому он не противоречит требованиям статьи 1010 закона.</w:t>
      </w:r>
    </w:p>
    <w:p>
      <w:r>
        <w:rPr>
          <w:b/>
        </w:rPr>
        <w:t xml:space="preserve">Основание: </w:t>
      </w:r>
      <w:r>
        <w:t>H11300016_1357765200, ст.1010</w:t>
      </w:r>
    </w:p>
    <w:p>
      <w:r>
        <w:rPr>
          <w:b/>
        </w:rPr>
        <w:t xml:space="preserve">Решение: </w:t>
      </w:r>
      <w:r>
        <w:t>Сохранить заголовок, но при необходимости добавить конкретные положения, соответствующие требованиям статьи 1010, если они планируются в разделе «Заключительные положения».</w:t>
      </w:r>
    </w:p>
    <w:p>
      <w:r>
        <w:rPr>
          <w:b/>
          <w:color w:val="C80000"/>
        </w:rPr>
        <w:t xml:space="preserve">Статус: </w:t>
      </w:r>
      <w:r>
        <w:rPr>
          <w:i/>
        </w:rPr>
        <w:t>Критическая ошибка. Требуется исправление.</w:t>
      </w:r>
    </w:p>
    <w:p/>
    <w:p>
      <w:pPr>
        <w:pStyle w:val="Heading1"/>
      </w:pPr>
      <w:r>
        <w:rPr>
          <w:color w:val="228B22"/>
        </w:rPr>
        <w:t>3. НИЗКИЙ РИСК / ТЕХНИЧЕСКИЕ ПРАВКИ</w:t>
      </w:r>
    </w:p>
    <w:p>
      <w:pPr>
        <w:pStyle w:val="Heading2"/>
      </w:pPr>
      <w:r>
        <w:t>Пункт 2.1 (modified)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БЫЛО:</w:t>
              <w:br/>
              <w:t>К коммерческой тайне Общества относятся: - сведения о финансовом состоянии; - сведения о клиентах и поставщиках; - сведения о задолженности по выплате заработной платы - сведения о нарушениях трудовой дисциплины</w:t>
            </w:r>
          </w:p>
        </w:tc>
        <w:tc>
          <w:tcPr>
            <w:tcW w:type="dxa" w:w="4320"/>
          </w:tcPr>
          <w:p>
            <w:r>
              <w:t>СТАЛО:</w:t>
              <w:br/>
              <w:t>К коммерческой тайне Общества относятся: - сведения о финансовом состоянии; - сведения о клиентах и поставщиках; - сведения о разрабатываемых технологиях.</w:t>
            </w:r>
          </w:p>
        </w:tc>
      </w:tr>
    </w:tbl>
    <w:p>
      <w:r>
        <w:rPr>
          <w:b/>
        </w:rPr>
        <w:br/>
        <w:t xml:space="preserve">Анализ LLM: </w:t>
      </w:r>
      <w:r>
        <w:t>Статья 11 (часть 2) лишь устанавливает ответственность за препятствование доступу к сведениям, составляющим коммерческую тайну, но не фиксирует перечень сведений, которые могут относиться к коммерческой тайне. Добавление сведения о разрабатываемых технологиях и удаление других пунктов не противоречат формулировке закона.</w:t>
      </w:r>
    </w:p>
    <w:p>
      <w:r>
        <w:rPr>
          <w:b/>
        </w:rPr>
        <w:t xml:space="preserve">Основание: </w:t>
      </w:r>
      <w:r>
        <w:t>H11300016_1357765200, ст.11 (часть 2)</w:t>
      </w:r>
    </w:p>
    <w:p>
      <w:r>
        <w:rPr>
          <w:b/>
        </w:rPr>
        <w:t xml:space="preserve">Решение: </w:t>
      </w:r>
      <w:r>
        <w:t>Сохранить текущий перечень сведений, при необходимости уточнить в внутренних нормативных актах, какие именно сведения считаются коммерческой тайной, чтобы избежать разночтений.</w:t>
      </w:r>
    </w:p>
    <w:p>
      <w:r>
        <w:rPr>
          <w:b/>
          <w:color w:val="228B22"/>
        </w:rPr>
        <w:t xml:space="preserve">Статус: </w:t>
      </w:r>
      <w:r>
        <w:rPr>
          <w:i/>
        </w:rPr>
        <w:t>Допустимо. Соответствует законодательству.</w:t>
      </w:r>
    </w:p>
    <w:p/>
    <w:p>
      <w:pPr>
        <w:pStyle w:val="Heading2"/>
      </w:pPr>
      <w:r>
        <w:t>Пункт 3.2 (deleted)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БЫЛО:</w:t>
              <w:br/>
              <w:t>Работники обязаны подписать обязательство о неразглашении коммерческой тайны в течение 3 дней с даты ознакомления с Положением.</w:t>
            </w:r>
          </w:p>
        </w:tc>
        <w:tc>
          <w:tcPr>
            <w:tcW w:type="dxa" w:w="4320"/>
          </w:tcPr>
          <w:p>
            <w:r>
              <w:t>СТАЛО:</w:t>
              <w:br/>
            </w:r>
          </w:p>
        </w:tc>
      </w:tr>
    </w:tbl>
    <w:p>
      <w:r>
        <w:rPr>
          <w:b/>
        </w:rPr>
        <w:br/>
        <w:t xml:space="preserve">Анализ LLM: </w:t>
      </w:r>
      <w:r>
        <w:t>Плановое изменение</w:t>
      </w:r>
    </w:p>
    <w:p>
      <w:r>
        <w:rPr>
          <w:b/>
        </w:rPr>
        <w:t xml:space="preserve">Основание: </w:t>
      </w:r>
      <w:r>
        <w:t>Не требуется</w:t>
      </w:r>
    </w:p>
    <w:p>
      <w:r>
        <w:rPr>
          <w:b/>
          <w:color w:val="228B22"/>
        </w:rPr>
        <w:t xml:space="preserve">Статус: </w:t>
      </w:r>
      <w:r>
        <w:rPr>
          <w:i/>
        </w:rPr>
        <w:t>Допустимо. Соответствует законодательству.</w:t>
      </w:r>
    </w:p>
    <w:p/>
    <w:p>
      <w:pPr>
        <w:pStyle w:val="Heading2"/>
      </w:pPr>
      <w:r>
        <w:t>Пункт 4.1 (modified)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БЫЛО:</w:t>
              <w:br/>
              <w:t>Доступ к сведениям, составляющим коммерческую тайну, предоставляется только работникам, имеющим допуск к государственной тайне.</w:t>
            </w:r>
          </w:p>
        </w:tc>
        <w:tc>
          <w:tcPr>
            <w:tcW w:type="dxa" w:w="4320"/>
          </w:tcPr>
          <w:p>
            <w:r>
              <w:t>СТАЛО:</w:t>
              <w:br/>
              <w:t>Доступ к сведениям, составляющим коммерческую тайну, предоставляется работникам в соответствии с их должностными обязанностями.</w:t>
            </w:r>
          </w:p>
        </w:tc>
      </w:tr>
    </w:tbl>
    <w:p>
      <w:r>
        <w:rPr>
          <w:b/>
        </w:rPr>
        <w:br/>
        <w:t xml:space="preserve">Анализ LLM: </w:t>
      </w:r>
      <w:r>
        <w:t>Статья 11 часть 2 закона лишь устанавливает ответственность за препятствование получению доступа к сведениям, составляющим коммерческую тайну, но не ограничивает круг лиц, которым такой доступ может быть предоставлен. Новая формулировка, позволяющая предоставлять доступ в соответствии с должностными обязанностями, не противоречит требованиям закона.</w:t>
      </w:r>
    </w:p>
    <w:p>
      <w:r>
        <w:rPr>
          <w:b/>
        </w:rPr>
        <w:t xml:space="preserve">Основание: </w:t>
      </w:r>
      <w:r>
        <w:t>H11300016_1357765200, ст.11 (часть 2)</w:t>
      </w:r>
    </w:p>
    <w:p>
      <w:r>
        <w:rPr>
          <w:b/>
        </w:rPr>
        <w:t xml:space="preserve">Решение: </w:t>
      </w:r>
      <w:r>
        <w:t>Сохранить новую формулировку, так как она соответствует принципу предоставления доступа на основе служебных потребностей и не нарушает закон.</w:t>
      </w:r>
    </w:p>
    <w:p>
      <w:r>
        <w:rPr>
          <w:b/>
          <w:color w:val="228B22"/>
        </w:rPr>
        <w:t xml:space="preserve">Статус: </w:t>
      </w:r>
      <w:r>
        <w:rPr>
          <w:i/>
        </w:rPr>
        <w:t>Допустимо. Соответствует законодательству.</w:t>
      </w:r>
    </w:p>
    <w:p/>
    <w:p>
      <w:pPr>
        <w:pStyle w:val="Heading2"/>
      </w:pPr>
      <w:r>
        <w:t>Пункт 4.2 (deleted)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БЫЛО:</w:t>
              <w:br/>
              <w:t>Решение о допуске принимает служба безопасности единолично.</w:t>
            </w:r>
          </w:p>
        </w:tc>
        <w:tc>
          <w:tcPr>
            <w:tcW w:type="dxa" w:w="4320"/>
          </w:tcPr>
          <w:p>
            <w:r>
              <w:t>СТАЛО:</w:t>
              <w:br/>
            </w:r>
          </w:p>
        </w:tc>
      </w:tr>
    </w:tbl>
    <w:p>
      <w:r>
        <w:rPr>
          <w:b/>
        </w:rPr>
        <w:br/>
        <w:t xml:space="preserve">Анализ LLM: </w:t>
      </w:r>
      <w:r>
        <w:t>Плановое изменение</w:t>
      </w:r>
    </w:p>
    <w:p>
      <w:r>
        <w:rPr>
          <w:b/>
        </w:rPr>
        <w:t xml:space="preserve">Основание: </w:t>
      </w:r>
      <w:r>
        <w:t>Не требуется</w:t>
      </w:r>
    </w:p>
    <w:p>
      <w:r>
        <w:rPr>
          <w:b/>
          <w:color w:val="228B22"/>
        </w:rPr>
        <w:t xml:space="preserve">Статус: </w:t>
      </w:r>
      <w:r>
        <w:rPr>
          <w:i/>
        </w:rPr>
        <w:t>Допустимо. Соответствует законодательству.</w:t>
      </w:r>
    </w:p>
    <w:p/>
    <w:p>
      <w:pPr>
        <w:pStyle w:val="Heading2"/>
      </w:pPr>
      <w:r>
        <w:t>Пункт 5 (deleted)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БЫЛО:</w:t>
              <w:br/>
              <w:t>Ответственность за нарушение</w:t>
            </w:r>
          </w:p>
        </w:tc>
        <w:tc>
          <w:tcPr>
            <w:tcW w:type="dxa" w:w="4320"/>
          </w:tcPr>
          <w:p>
            <w:r>
              <w:t>СТАЛО:</w:t>
              <w:br/>
            </w:r>
          </w:p>
        </w:tc>
      </w:tr>
    </w:tbl>
    <w:p>
      <w:r>
        <w:rPr>
          <w:b/>
        </w:rPr>
        <w:br/>
        <w:t xml:space="preserve">Анализ LLM: </w:t>
      </w:r>
      <w:r>
        <w:t>Плановое изменение</w:t>
      </w:r>
    </w:p>
    <w:p>
      <w:r>
        <w:rPr>
          <w:b/>
        </w:rPr>
        <w:t xml:space="preserve">Основание: </w:t>
      </w:r>
      <w:r>
        <w:t>Не требуется</w:t>
      </w:r>
    </w:p>
    <w:p>
      <w:r>
        <w:rPr>
          <w:b/>
          <w:color w:val="228B22"/>
        </w:rPr>
        <w:t xml:space="preserve">Статус: </w:t>
      </w:r>
      <w:r>
        <w:rPr>
          <w:i/>
        </w:rPr>
        <w:t>Допустимо. Соответствует законодательству.</w:t>
      </w:r>
    </w:p>
    <w:p/>
    <w:p>
      <w:pPr>
        <w:pStyle w:val="Heading2"/>
      </w:pPr>
      <w:r>
        <w:t>Пункт 5.1 (deleted)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БЫЛО:</w:t>
              <w:br/>
              <w:t>За разглашение коммерческой тайны работник обязан возместить упущенную выгоду Общества.</w:t>
            </w:r>
          </w:p>
        </w:tc>
        <w:tc>
          <w:tcPr>
            <w:tcW w:type="dxa" w:w="4320"/>
          </w:tcPr>
          <w:p>
            <w:r>
              <w:t>СТАЛО:</w:t>
              <w:br/>
            </w:r>
          </w:p>
        </w:tc>
      </w:tr>
    </w:tbl>
    <w:p>
      <w:r>
        <w:rPr>
          <w:b/>
        </w:rPr>
        <w:br/>
        <w:t xml:space="preserve">Анализ LLM: </w:t>
      </w:r>
      <w:r>
        <w:t>Плановое изменение</w:t>
      </w:r>
    </w:p>
    <w:p>
      <w:r>
        <w:rPr>
          <w:b/>
        </w:rPr>
        <w:t xml:space="preserve">Основание: </w:t>
      </w:r>
      <w:r>
        <w:t>Не требуется</w:t>
      </w:r>
    </w:p>
    <w:p>
      <w:r>
        <w:rPr>
          <w:b/>
          <w:color w:val="228B22"/>
        </w:rPr>
        <w:t xml:space="preserve">Статус: </w:t>
      </w:r>
      <w:r>
        <w:rPr>
          <w:i/>
        </w:rPr>
        <w:t>Допустимо. Соответствует законодательству.</w:t>
      </w:r>
    </w:p>
    <w:p/>
    <w:p>
      <w:pPr>
        <w:pStyle w:val="Heading2"/>
      </w:pPr>
      <w:r>
        <w:t>Пункт 6 (deleted)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БЫЛО:</w:t>
              <w:br/>
              <w:t>Внесение изменений</w:t>
            </w:r>
          </w:p>
        </w:tc>
        <w:tc>
          <w:tcPr>
            <w:tcW w:type="dxa" w:w="4320"/>
          </w:tcPr>
          <w:p>
            <w:r>
              <w:t>СТАЛО:</w:t>
              <w:br/>
            </w:r>
          </w:p>
        </w:tc>
      </w:tr>
    </w:tbl>
    <w:p>
      <w:r>
        <w:rPr>
          <w:b/>
        </w:rPr>
        <w:br/>
        <w:t xml:space="preserve">Анализ LLM: </w:t>
      </w:r>
      <w:r>
        <w:t>Плановое изменение</w:t>
      </w:r>
    </w:p>
    <w:p>
      <w:r>
        <w:rPr>
          <w:b/>
        </w:rPr>
        <w:t xml:space="preserve">Основание: </w:t>
      </w:r>
      <w:r>
        <w:t>Не требуется</w:t>
      </w:r>
    </w:p>
    <w:p>
      <w:r>
        <w:rPr>
          <w:b/>
          <w:color w:val="228B22"/>
        </w:rPr>
        <w:t xml:space="preserve">Статус: </w:t>
      </w:r>
      <w:r>
        <w:rPr>
          <w:i/>
        </w:rPr>
        <w:t>Допустимо. Соответствует законодательству.</w:t>
      </w:r>
    </w:p>
    <w:p/>
    <w:p>
      <w:pPr>
        <w:pStyle w:val="Heading2"/>
      </w:pPr>
      <w:r>
        <w:t>Пункт 6.1 → 5.1 (moved)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БЫЛО:</w:t>
              <w:br/>
            </w:r>
          </w:p>
        </w:tc>
        <w:tc>
          <w:tcPr>
            <w:tcW w:type="dxa" w:w="4320"/>
          </w:tcPr>
          <w:p>
            <w:r>
              <w:t>СТАЛО:</w:t>
              <w:br/>
            </w:r>
          </w:p>
        </w:tc>
      </w:tr>
    </w:tbl>
    <w:p>
      <w:r>
        <w:rPr>
          <w:b/>
        </w:rPr>
        <w:br/>
        <w:t xml:space="preserve">Анализ LLM: </w:t>
      </w:r>
      <w:r>
        <w:t>Плановое изменение</w:t>
      </w:r>
    </w:p>
    <w:p>
      <w:r>
        <w:rPr>
          <w:b/>
        </w:rPr>
        <w:t xml:space="preserve">Основание: </w:t>
      </w:r>
      <w:r>
        <w:t>Не требуется</w:t>
      </w:r>
    </w:p>
    <w:p>
      <w:r>
        <w:rPr>
          <w:b/>
          <w:color w:val="228B22"/>
        </w:rPr>
        <w:t xml:space="preserve">Статус: </w:t>
      </w:r>
      <w:r>
        <w:rPr>
          <w:i/>
        </w:rPr>
        <w:t>Допустимо. Соответствует законодательству.</w:t>
      </w:r>
    </w:p>
    <w:p/>
    <w:p>
      <w:pPr>
        <w:pStyle w:val="Heading2"/>
      </w:pPr>
      <w:r>
        <w:t>Пункт 6.2 → 5.2 (moved)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БЫЛО:</w:t>
              <w:br/>
            </w:r>
          </w:p>
        </w:tc>
        <w:tc>
          <w:tcPr>
            <w:tcW w:type="dxa" w:w="4320"/>
          </w:tcPr>
          <w:p>
            <w:r>
              <w:t>СТАЛО:</w:t>
              <w:br/>
            </w:r>
          </w:p>
        </w:tc>
      </w:tr>
    </w:tbl>
    <w:p>
      <w:r>
        <w:rPr>
          <w:b/>
        </w:rPr>
        <w:br/>
        <w:t xml:space="preserve">Анализ LLM: </w:t>
      </w:r>
      <w:r>
        <w:t>Плановое изменение</w:t>
      </w:r>
    </w:p>
    <w:p>
      <w:r>
        <w:rPr>
          <w:b/>
        </w:rPr>
        <w:t xml:space="preserve">Основание: </w:t>
      </w:r>
      <w:r>
        <w:t>Не требуется</w:t>
      </w:r>
    </w:p>
    <w:p>
      <w:r>
        <w:rPr>
          <w:b/>
          <w:color w:val="228B22"/>
        </w:rPr>
        <w:t xml:space="preserve">Статус: </w:t>
      </w:r>
      <w:r>
        <w:rPr>
          <w:i/>
        </w:rPr>
        <w:t>Допустимо. Соответствует законодательству.</w:t>
      </w:r>
    </w:p>
    <w:p/>
    <w:p>
      <w:pPr>
        <w:pStyle w:val="Heading2"/>
      </w:pPr>
      <w:r>
        <w:t>Пункт 4.2 (modified)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БЫЛО:</w:t>
              <w:br/>
            </w:r>
          </w:p>
        </w:tc>
        <w:tc>
          <w:tcPr>
            <w:tcW w:type="dxa" w:w="4320"/>
          </w:tcPr>
          <w:p>
            <w:r>
              <w:t>СТАЛО:</w:t>
              <w:br/>
              <w:t>Допуск работников осуществляется на основании приказа директора.</w:t>
            </w:r>
          </w:p>
        </w:tc>
      </w:tr>
    </w:tbl>
    <w:p>
      <w:r>
        <w:rPr>
          <w:b/>
        </w:rPr>
        <w:br/>
        <w:t xml:space="preserve">Анализ LLM: </w:t>
      </w:r>
      <w:r>
        <w:t>Добавленный текст регулирует порядок допуска работников, тогда как статья 3 закона определяет лишь условия и порядок отнесения информации к служебной тайне. Тема текста не относится к предмету статьи, поэтому противоречия нет.</w:t>
      </w:r>
    </w:p>
    <w:p>
      <w:r>
        <w:rPr>
          <w:b/>
        </w:rPr>
        <w:t xml:space="preserve">Основание: </w:t>
      </w:r>
      <w:r>
        <w:t>H11300016_1357765200, ст.3</w:t>
      </w:r>
    </w:p>
    <w:p>
      <w:r>
        <w:rPr>
          <w:b/>
        </w:rPr>
        <w:t xml:space="preserve">Решение: </w:t>
      </w:r>
      <w:r>
        <w:t>Текст не требует изменения с точки зрения соответствия статье 3, однако следует убедиться, что порядок допуска работников согласован с другими нормативными актами, регулирующими трудовые отношения.</w:t>
      </w:r>
    </w:p>
    <w:p>
      <w:r>
        <w:rPr>
          <w:b/>
          <w:color w:val="228B22"/>
        </w:rPr>
        <w:t xml:space="preserve">Статус: </w:t>
      </w:r>
      <w:r>
        <w:rPr>
          <w:i/>
        </w:rPr>
        <w:t>Допустимо. Соответствует законодательству.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