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Юридическое заключение по результатам сравнения</w:t>
      </w:r>
    </w:p>
    <w:p>
      <w:r>
        <w:t>Дата отчета: 2026-03-20 12:32:11</w:t>
      </w:r>
    </w:p>
    <w:p>
      <w:r>
        <w:t>Документ: old_test.docx</w:t>
      </w:r>
    </w:p>
    <w:p>
      <w:r>
        <w:t>------------------------------</w:t>
      </w:r>
    </w:p>
    <w:p>
      <w:pPr>
        <w:pStyle w:val="Heading1"/>
      </w:pPr>
      <w:r>
        <w:rPr>
          <w:color w:val="C80000"/>
        </w:rPr>
        <w:t>1. КРИТИЧЕСКИЕ РИСКИ (КРАСНАЯ ЗОНА)</w:t>
      </w:r>
    </w:p>
    <w:p>
      <w:pPr>
        <w:pStyle w:val="Heading2"/>
      </w:pPr>
      <w:r>
        <w:t>Пункт —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 20.03.2026 № 12</w:t>
            </w:r>
          </w:p>
        </w:tc>
        <w:tc>
          <w:tcPr>
            <w:tcW w:type="dxa" w:w="4320"/>
          </w:tcPr>
          <w:p>
            <w:r>
              <w:t>СТАЛО:</w:t>
              <w:br/>
              <w:t>от 15.01.2025 № 5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21 закона требует, чтобы изменения и дополнения к кодексам оформлялись датой их принятия и присваивались последовательный номер, не допускающий обратной хронологии. В изменении дата перенесена с более поздней (20.03.2026) на более раннюю (15.01.2025), а номер снижен с 12 до 5, что нарушает требование о последовательной нумерации и недопустимости обратного датирования.</w:t>
      </w:r>
    </w:p>
    <w:p>
      <w:r>
        <w:rPr>
          <w:b/>
        </w:rPr>
        <w:t xml:space="preserve">Основание: </w:t>
      </w:r>
      <w:r>
        <w:t>C:\Users\Lenovo\Downloads\H11300016_1357765200, ст.21</w:t>
      </w:r>
    </w:p>
    <w:p>
      <w:r>
        <w:rPr>
          <w:b/>
        </w:rPr>
        <w:t xml:space="preserve">Решение: </w:t>
      </w:r>
      <w:r>
        <w:t>Установить дату изменения не позже 20.03.2026 и присвоить номер, следующий за последним использованным (например, 13), либо оформить новое изменение как отдельный документ с корректной датой и последовательным номером.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2"/>
      </w:pPr>
      <w:r>
        <w:t>Пункт 3.2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За разглашение коммерческой тайны работники могут быть привлечены к дисциплинарной ответственности.</w:t>
            </w:r>
          </w:p>
        </w:tc>
      </w:tr>
    </w:tbl>
    <w:p>
      <w:r>
        <w:rPr>
          <w:b/>
        </w:rPr>
        <w:br/>
        <w:t xml:space="preserve">Анализ LLM: </w:t>
      </w:r>
      <w:r>
        <w:t>Закон гласит, что разглашение коммерческой тайны влечёт за собой ответственность в соответствии с законодательными актами, подразумевая административную, уголовную или иную юридическую ответственность. Утверждение, что за разглашение может быть привлечён только к дисциплинарной ответственности, ограничивает спектр предусмотренных законом мер и не соответствует требуемой правовой квалификации.</w:t>
      </w:r>
    </w:p>
    <w:p>
      <w:r>
        <w:rPr>
          <w:b/>
        </w:rPr>
        <w:t xml:space="preserve">Основание: </w:t>
      </w:r>
      <w:r>
        <w:t>H11300016_1357765200, ст.11 (часть 2)</w:t>
      </w:r>
    </w:p>
    <w:p>
      <w:r>
        <w:rPr>
          <w:b/>
        </w:rPr>
        <w:t xml:space="preserve">Решение: </w:t>
      </w:r>
      <w:r>
        <w:t>Изменить формулировку на: «За разглашение коммерческой тайны работники могут быть привлечены к ответственности в соответствии с законодательными актами, включая административную, уголовную и дисциплинарную ответственность».</w:t>
      </w:r>
    </w:p>
    <w:p>
      <w:r>
        <w:rPr>
          <w:b/>
          <w:color w:val="C80000"/>
        </w:rPr>
        <w:t xml:space="preserve">Статус: </w:t>
      </w:r>
      <w:r>
        <w:rPr>
          <w:i/>
        </w:rPr>
        <w:t>Критическая ошибка. Требуется исправление.</w:t>
      </w:r>
    </w:p>
    <w:p/>
    <w:p>
      <w:pPr>
        <w:pStyle w:val="Heading1"/>
      </w:pPr>
      <w:r>
        <w:rPr>
          <w:color w:val="DAA520"/>
        </w:rPr>
        <w:t>2. СРЕДНИЕ РИСКИ (ЖЕЛТАЯ ЗОНА)</w:t>
      </w:r>
    </w:p>
    <w:p>
      <w:pPr>
        <w:pStyle w:val="Heading2"/>
      </w:pPr>
      <w:r>
        <w:t>Пункт 5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Заключительные положения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фрагмент представляет собой лишь заголовок "Заключительные положения" и не содержит положений, противоречащих требованиям статьи 1010 о правовой охране секрета производства (ноу-хау). Он не нарушает ни формальные, ни субстантивные требования закона.</w:t>
      </w:r>
    </w:p>
    <w:p>
      <w:r>
        <w:rPr>
          <w:b/>
        </w:rPr>
        <w:t xml:space="preserve">Основание: </w:t>
      </w:r>
      <w:r>
        <w:t>H11300016_1357765200, ст.1010</w:t>
      </w:r>
    </w:p>
    <w:p>
      <w:r>
        <w:rPr>
          <w:b/>
        </w:rPr>
        <w:t xml:space="preserve">Решение: </w:t>
      </w:r>
      <w:r>
        <w:t>Если планируется дальнейшее развитие раздела, включить в "Заключительные положения" конкретные положения о соблюдении условий охраны ноу-хау, указанные в статье 1010, чтобы обеспечить соответствие требованиям закона.</w:t>
      </w:r>
    </w:p>
    <w:p>
      <w:r>
        <w:rPr>
          <w:b/>
          <w:color w:val="DAA520"/>
        </w:rPr>
        <w:t xml:space="preserve">Статус: </w:t>
      </w:r>
      <w:r>
        <w:rPr>
          <w:i/>
        </w:rPr>
        <w:t>Внимание. Потенциальный риск, требуется проверка юристом.</w:t>
      </w:r>
    </w:p>
    <w:p/>
    <w:p>
      <w:pPr>
        <w:pStyle w:val="Heading1"/>
      </w:pPr>
      <w:r>
        <w:rPr>
          <w:color w:val="228B22"/>
        </w:rPr>
        <w:t>3. НИЗКИЙ РИСК / ТЕХНИЧЕСКИЕ ПРАВКИ</w:t>
      </w:r>
    </w:p>
    <w:p>
      <w:pPr>
        <w:pStyle w:val="Heading2"/>
      </w:pPr>
      <w:r>
        <w:t>Пункт 2.1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задолженности по выплате заработной платы - сведения о нарушениях трудовой дисциплины</w:t>
            </w:r>
          </w:p>
        </w:tc>
        <w:tc>
          <w:tcPr>
            <w:tcW w:type="dxa" w:w="4320"/>
          </w:tcPr>
          <w:p>
            <w:r>
              <w:t>СТАЛО:</w:t>
              <w:br/>
              <w:t>К коммерческой тайне Общества относятся: - сведения о финансовом состоянии; - сведения о клиентах и поставщиках; - сведения о разрабатываемых технологиях.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закона определяет, что коммерческая тайна – это сведения, которые становятся известными третьим лицам без согласия владельца, и не фиксирует обязательный перечень видов сведений. Поэтому изменение перечня сведений, относящихся к коммерческой тайне, не противоречит закону.</w:t>
      </w:r>
    </w:p>
    <w:p>
      <w:r>
        <w:rPr>
          <w:b/>
        </w:rPr>
        <w:t xml:space="preserve">Основание: </w:t>
      </w:r>
      <w:r>
        <w:t>H11300016_1357765200, ст.1 (часть 2)</w:t>
      </w:r>
    </w:p>
    <w:p>
      <w:r>
        <w:rPr>
          <w:b/>
        </w:rPr>
        <w:t xml:space="preserve">Решение: </w:t>
      </w:r>
      <w:r>
        <w:t>Изменения допустимы; при необходимости уточнить, что новые сведения (разрабатываемые технологии) действительно подпадают под определение коммерческой тайны и обеспечить их защиту соответствующими мерами.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3.2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Работники обязаны подписать обязательство о неразглашении коммерческой тайны в течение 3 дней с даты ознакомления с Положением.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4.1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Доступ к сведениям, составляющим коммерческую тайну, предоставляется только работникам, имеющим допуск к государственной тайне.</w:t>
            </w:r>
          </w:p>
        </w:tc>
        <w:tc>
          <w:tcPr>
            <w:tcW w:type="dxa" w:w="4320"/>
          </w:tcPr>
          <w:p>
            <w:r>
              <w:t>СТАЛО:</w:t>
              <w:br/>
              <w:t>Доступ к сведениям, составляющим коммерческую тайну, предоставляется работникам в соответствии с их должностными обязанностями.</w:t>
            </w:r>
          </w:p>
        </w:tc>
      </w:tr>
    </w:tbl>
    <w:p>
      <w:r>
        <w:rPr>
          <w:b/>
        </w:rPr>
        <w:br/>
        <w:t xml:space="preserve">Анализ LLM: </w:t>
      </w:r>
      <w:r>
        <w:t>Статья 11 (часть 2) лишь устанавливает ответственность за препятствование правомерному получению доступа к сведениям, составляющим коммерческую тайну, но не регламентирует, кто именно может иметь такой доступ. Поэтому формулировка, позволяющая предоставлять доступ работникам в соответствии с их должностными обязанностями, не противоречит закону.</w:t>
      </w:r>
    </w:p>
    <w:p>
      <w:r>
        <w:rPr>
          <w:b/>
        </w:rPr>
        <w:t xml:space="preserve">Основание: </w:t>
      </w:r>
      <w:r>
        <w:t>C:\Users\Lenovo\Downloads\H11300016_1357765200, ст.11 (часть 2)</w:t>
      </w:r>
    </w:p>
    <w:p>
      <w:r>
        <w:rPr>
          <w:b/>
        </w:rPr>
        <w:t xml:space="preserve">Решение: </w:t>
      </w:r>
      <w:r>
        <w:t>Сохранить текущую формулировку, так как она соответствует требованиям закона и не вводит ограничений, противоречащих статье.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Решение о допуске принимает служба безопасности единолично.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Ответственность за нарушение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5.1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За разглашение коммерческой тайны работник обязан возместить упущенную выгоду Общества.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6 (deleted)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  <w:t>Внесение изменений</w:t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6.1 → 5.1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6.2 → 5.2 (moved)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</w:r>
          </w:p>
        </w:tc>
      </w:tr>
    </w:tbl>
    <w:p>
      <w:r>
        <w:rPr>
          <w:b/>
        </w:rPr>
        <w:br/>
        <w:t xml:space="preserve">Анализ LLM: </w:t>
      </w:r>
      <w:r>
        <w:t>Плановое изменение</w:t>
      </w:r>
    </w:p>
    <w:p>
      <w:r>
        <w:rPr>
          <w:b/>
        </w:rPr>
        <w:t xml:space="preserve">Основание: </w:t>
      </w:r>
      <w:r>
        <w:t>Не требуется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p>
      <w:pPr>
        <w:pStyle w:val="Heading2"/>
      </w:pPr>
      <w:r>
        <w:t>Пункт 4.2 (modified)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БЫЛО:</w:t>
              <w:br/>
            </w:r>
          </w:p>
        </w:tc>
        <w:tc>
          <w:tcPr>
            <w:tcW w:type="dxa" w:w="4320"/>
          </w:tcPr>
          <w:p>
            <w:r>
              <w:t>СТАЛО:</w:t>
              <w:br/>
              <w:t>Допуск работников осуществляется на основании приказа директора.</w:t>
            </w:r>
          </w:p>
        </w:tc>
      </w:tr>
    </w:tbl>
    <w:p>
      <w:r>
        <w:rPr>
          <w:b/>
        </w:rPr>
        <w:br/>
        <w:t xml:space="preserve">Анализ LLM: </w:t>
      </w:r>
      <w:r>
        <w:t>Добавленный текст о порядке допуска работников по приказу директора не относится к условиям и порядку отнесения информации к служебной тайне, установленным в статье 3, поэтому противоречия нет.</w:t>
      </w:r>
    </w:p>
    <w:p>
      <w:r>
        <w:rPr>
          <w:b/>
        </w:rPr>
        <w:t xml:space="preserve">Основание: </w:t>
      </w:r>
      <w:r>
        <w:t>C:\Users\Lenovo\Downloads\H11300016_1357765200, ст.3</w:t>
      </w:r>
    </w:p>
    <w:p>
      <w:r>
        <w:rPr>
          <w:b/>
        </w:rPr>
        <w:t xml:space="preserve">Решение: </w:t>
      </w:r>
      <w:r>
        <w:t>Сохранить добавленный текст, так как он не противоречит статье 3.</w:t>
      </w:r>
    </w:p>
    <w:p>
      <w:r>
        <w:rPr>
          <w:b/>
          <w:color w:val="228B22"/>
        </w:rPr>
        <w:t xml:space="preserve">Статус: </w:t>
      </w:r>
      <w:r>
        <w:rPr>
          <w:i/>
        </w:rPr>
        <w:t>Допустимо. Соответствует законодательству.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