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11:34:49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1010 регулирует условия правовой охраны секрета производства (ноу-хау) и не устанавливает требований к датам и номерам документов, изменяемых в данном элементе. Замена даты и номера не противоречит положениям закона.</w:t>
      </w:r>
    </w:p>
    <w:p>
      <w:r>
        <w:rPr>
          <w:b/>
        </w:rPr>
        <w:t xml:space="preserve">Основание: </w:t>
      </w:r>
      <w:r>
        <w:t>H11300016_1357765200, ст.1010</w:t>
      </w:r>
    </w:p>
    <w:p>
      <w:r>
        <w:rPr>
          <w:b/>
        </w:rPr>
        <w:t xml:space="preserve">Решение: </w:t>
      </w:r>
      <w:r>
        <w:t>Сохранить изменение, так как оно не нарушает закон. При необходимости уточнить, что изменение отражает актуальную дату и номер документа.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16 закона лишь устанавливает обязанности работников по соблюдению конфиденциальности и использованию коммерческой тайны в рамках их трудовых обязанностей. Она не предписывает, какие именно критерии доступа должны применяться. Ограничение доступа только работникам, имеющим допуск к государственной тайне, является более строгим требованием, но не противоречит закону, так как закон допускает более строгие внутренние правила работодателя.</w:t>
      </w:r>
    </w:p>
    <w:p>
      <w:r>
        <w:rPr>
          <w:b/>
        </w:rPr>
        <w:t xml:space="preserve">Основание: </w:t>
      </w:r>
      <w:r>
        <w:t>H11300016_1357765200, ст.16</w:t>
      </w:r>
    </w:p>
    <w:p>
      <w:r>
        <w:rPr>
          <w:b/>
        </w:rPr>
        <w:t xml:space="preserve">Решение: </w:t>
      </w:r>
      <w:r>
        <w:t>Сохранить текущую формулировку или уточнить, что доступ предоставляется работникам, отвечающим требованиям работодателя (в том числе, при необходимости, наличию допуска к государственной тайне), но обязательно в соответствии с их должностными обязанностями.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представляет собой лишь заголовок "Ответственность за нарушение" и не содержит положений, противоречащих статье 21, которая регулирует порядок внесения изменений и дополнений в кодексы. Поэтому прямого или косвенного противоречия нет.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Убедиться, что последующее содержание раздела о ответственности будет соответствовать установленным законодательством процедурам и требованиям к изменениям кодексов.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21 требует, чтобы в тексте указывались как "внесение изменений", так и "дополнений" в кодексы. Добавленный фрагмент содержит только "Внесение изменений" и не включает обязательную часть "и дополнений", что делает его несоответствующим требованию закона.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Дополнить текст до полного формулирования: "Внесение изменений и дополнений".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В изменённом пункте к коммерческой тайне добавлены сведения о задолженности по выплате заработной платы и о нарушениях трудовой дисциплины. Такие сведения относятся к персональным данным работников и регулируются Трудовым кодексом и законом о персональных данных, а не к коммерческой тайне. Закон, приведённый в статье 11, не включает такие категории в перечень коммерческой тайны и подразумевает, что коммерческая тайна охватывает сведения, имеющие экономическую ценность для общества, а не индивидуальные трудовые отношения. Следовательно, включение этих сведений противоречит общепринятой правовой доктрине и может нарушать права работников.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Удалить из перечня коммерческой тайны сведения о задолженности по выплате заработной платы и о нарушениях трудовой дисциплины; такие сведения следует регулировать в рамках трудового законодательства и закона о персональных данных.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лишь указывает, что за препятствование правомерным действиям в получении доступа к сведениям, составляющим коммерческую тайну, предусмотрена ответственность в соответствии с законодательными актами. Она не определяет конкретный вид ответственности (дисциплинарный, административный, гражданский) и не запрещает возмещение упущенной выгоды. Поэтому новое требование о возмещении упущенной выгоды работником не противоречит формулировке статьи, хотя необходимо обеспечить соответствие другим нормативным актам, регулирующим гражданско‑правовую ответственность.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Убедиться, что требование о возмещении упущенной выгоды согласовано с другими нормативными актами (например, Гражданским кодексом, Трудовым кодексом, Законом о коммерческой тайне), где прописаны основания и порядок возмещения.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16 закона обязывает работников подписать обязательство о неразглашении коммерческой тайны по требованию нанимателя, но не устанавливает конкретный срок. Добавление требования подписать обязательство в течение 3 дней является дополнительным внутренним регламентом и не противоречит закону.</w:t>
      </w:r>
    </w:p>
    <w:p>
      <w:r>
        <w:rPr>
          <w:b/>
        </w:rPr>
        <w:t xml:space="preserve">Основание: </w:t>
      </w:r>
      <w:r>
        <w:t>H11300016_1357765200, ст.16</w:t>
      </w:r>
    </w:p>
    <w:p>
      <w:r>
        <w:rPr>
          <w:b/>
        </w:rPr>
        <w:t xml:space="preserve">Решение: </w:t>
      </w:r>
      <w:r>
        <w:t>Сохранить требование о подписании в течение 3 дней, так как оно не нарушает закон, но при желании можно уточнить, что срок является внутренним регламентом работодателя.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3 регулирует лишь условия и порядок отнесения информации к служебной тайне, не устанавливая требований к тому, каким органом принимается решение о допуске. Поэтому добавленное положение о единоличном решении службы безопасности не противоречит статье.</w:t>
      </w:r>
    </w:p>
    <w:p>
      <w:r>
        <w:rPr>
          <w:b/>
        </w:rPr>
        <w:t xml:space="preserve">Основание: </w:t>
      </w:r>
      <w:r>
        <w:t>C:\Users\Lenovo\Downloads\H11300016_1357765200, ст.3</w:t>
      </w:r>
    </w:p>
    <w:p>
      <w:r>
        <w:rPr>
          <w:b/>
        </w:rPr>
        <w:t xml:space="preserve">Решение: </w:t>
      </w:r>
      <w:r>
        <w:t>Изменение не требует корректировки с точки зрения данной статьи.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