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12:17:39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представляет собой лишь заголовок "Ответственность за нарушение" и не содержит требований, противоречащих статье 21, регулирующей порядок внесения изменений и дополнений в кодексы. Он не нарушает установленную процедуру и форму законодательных правок.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Сохранить добавленный заголовок без изменений; при необходимости уточнить содержание раздела, но это не влияет на соответствие статье 21.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21 регулирует порядок внесения изменений и дополнений в кодексы, требуя указания даты и номера акта, но не запрещает замену более старой ссылки на более новую. Замена ссылки с «от 15.01.2025 № 5» на «от 20.03.2026 № 12» соответствует требованию указывать актуальную дату и номер изменения, поэтому противоречий с законом нет.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Сохранить текущую форму ссылки; при дальнейшем обновлении использовать актуальные дату и номер акта в соответствии с процедурой публикации.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определяет коммерческую тайну как сведения, относящиеся к деловой (экономической) деятельности, а не как персональные данные работников. Информация о задолженности по выплате заработной платы и о нарушениях трудовой дисциплины относится к персональным данным, регулируемым законодательством о защите персональных данных, а не к коммерческой тайне. Поэтому включение этих пунктов в перечень коммерческой тайны противоречит смыслу закона.</w:t>
      </w:r>
    </w:p>
    <w:p>
      <w:r>
        <w:rPr>
          <w:b/>
        </w:rPr>
        <w:t xml:space="preserve">Основание: </w:t>
      </w:r>
      <w:r>
        <w:t>C:\Users\Lenovo\Downloads\H11300016_1357765200, ст.1 (часть 2)</w:t>
      </w:r>
    </w:p>
    <w:p>
      <w:r>
        <w:rPr>
          <w:b/>
        </w:rPr>
        <w:t xml:space="preserve">Решение: </w:t>
      </w:r>
      <w:r>
        <w:t>Удалить из перечня коммерческой тайны пункты «сведения о задолженности по выплате заработной платы» и «сведения о нарушениях трудовой дисциплины». При необходимости защитить такие сведения использовать нормы о персональных данных, а не о коммерческой тайне.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18 закона лишь указывает, что за разглашение коммерческой тайны лица несут ответственность в соответствии с законодательными актами, не фиксируя конкретный вид ответственности. Поэтому внутренний нормативный акт может предусматривать возмещение упущенной выгоды, если такое возмещение предусмотрено другими законами или нормативными актами. Изменение не противоречит формулировке закона.</w:t>
      </w:r>
    </w:p>
    <w:p>
      <w:r>
        <w:rPr>
          <w:b/>
        </w:rPr>
        <w:t xml:space="preserve">Основание: </w:t>
      </w:r>
      <w:r>
        <w:t>H11300016_1357765200, ст.18</w:t>
      </w:r>
    </w:p>
    <w:p>
      <w:r>
        <w:rPr>
          <w:b/>
        </w:rPr>
        <w:t xml:space="preserve">Решение: </w:t>
      </w:r>
      <w:r>
        <w:t>Убедиться, что требование о возмещении упущенной выгоды согласовано с другими нормативными актами, регулирующими гражданско-правовую ответственность за нарушение коммерческой тайны.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лишь устанавливает ответственность за препятствие законным действиям органов и иных лиц в получении доступа к сведениям, составляющим коммерческую тайну. Она не регулирует порядок предоставления доступа внутри организации и не требует, чтобы доступ предоставлялся только работникам с допуском к государственной тайне. Поэтому новое ограничение не противоречит требованиям закона, а лишь ужесточает внутренние правила доступа.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Сохранить новое формулирование, так как оно не нарушает закон, но при необходимости уточнить внутренние регламенты, чтобы обеспечить возможность доступа уполномоченным лицам в соответствии с их должностными обязанностями.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В статье 21 явно указано, что требуется "Внесение изменений и дополнений в кодексы". Добавленный текст содержит только "Внесение изменений" и не включает обязательную часть "и дополнений", что противоречит формулировке закона.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Дополнить добавленный текст до полного соответствия закону, например: "Внесение изменений и дополнений".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16 требует от работников подписать обязательство о неразглашении коммерческой тайны по требованию нанимателя, но не устанавливает срок для подписания. Добавление срока в 3 дня является дополнительным внутренним требованием и не противоречит закону.</w:t>
      </w:r>
    </w:p>
    <w:p>
      <w:r>
        <w:rPr>
          <w:b/>
        </w:rPr>
        <w:t xml:space="preserve">Основание: </w:t>
      </w:r>
      <w:r>
        <w:t>H11300016_1357765200, ст.16</w:t>
      </w:r>
    </w:p>
    <w:p>
      <w:r>
        <w:rPr>
          <w:b/>
        </w:rPr>
        <w:t xml:space="preserve">Решение: </w:t>
      </w:r>
      <w:r>
        <w:t>Сохранить требование о подписании в течение 3 дней, убедившись, что оно не нарушает другие нормы трудового законодательства (например, право работника на разумный срок для ознакомления).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3 лишь устанавливает, что условия и порядок отнесения информации к служебной тайне определяются законодательством, но не регламентирует, каким органом или в каком порядке принимается решение о допуске. Поэтому добавленное положение о единоличном решении службы безопасности не противоречит указанному требованию закона.</w:t>
      </w:r>
    </w:p>
    <w:p>
      <w:r>
        <w:rPr>
          <w:b/>
        </w:rPr>
        <w:t xml:space="preserve">Основание: </w:t>
      </w:r>
      <w:r>
        <w:t>H11300016_1357765200, ст.3</w:t>
      </w:r>
    </w:p>
    <w:p>
      <w:r>
        <w:rPr>
          <w:b/>
        </w:rPr>
        <w:t xml:space="preserve">Решение: </w:t>
      </w:r>
      <w:r>
        <w:t>Изменение не требует корректировки с точки зрения данной статьи.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