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12:51:40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регулирует порядок внесения изменений в кодексы, требуя указания даты и последовательного номера акта. В изменении указана дата (20.03.2026) и номер (№ 12), которые соответствуют требованиям последовательного нумерования и корректного указания даты, поэтому противоречий с законом нет.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Сохранить текущий формат указания даты и номера; при последующих изменениях обеспечить последовательность нумерации и актуальность даты.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указывает, что препятствование правомерному получению доступа к сведениям, составляющим коммерческую тайну, влечет ответственность. Закон не устанавливает требование, чтобы доступ к такой информации имели только работники с допуском к государственной тайне. Ограничение доступа только таким работникам не предусмотрено законом и может рассматриваться как препятствие законному доступу, что противоречит статье.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к сведениям, составляющим коммерческую тайну, работникам в соответствии с их должностными обязанностями, без требования наличия допуска к государственной тайне, либо уточнить, что ограничение допускается только в случаях, прямо предусмотренных отдельными нормативными актами.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регулирует ответственность за препятствование доступу к сведениям, составляющим коммерческую тайну, но не определяет, какие сведения могут относиться к коммерческой тайне. Поэтому добавление сведений о задолженности по выплате заработной платы и о нарушениях трудовой дисциплины не противоречит требованиям именно этой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На основании данной статьи изменение не требует исправления. Однако рекомендуется проверить соответствие включённых сведений требованиям законодательства о персональных данных и трудовом праве, где такие сведения могут подпадать под иные категории защиты.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общий заголовок «Ответственность за нарушение» и не содержит конкретных положений, требуемых статьёй 1011, которая регламентирует ответственность за незаконное использование секрета производства (ноу‑хау). Текст не противоречит закону, но не соответствует его требованиям.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Разработать и включить в элемент конкретные положения о видах ответственности (штрафы, административные и уголовные санкции), условиях и порядке привлечения к ответственности за незаконное использование секрета производства, в соответствии с требованиями статьи 1011.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«Внесение изменений» не содержит положений, которые могли бы противоречить требованиям статьи 1010 о правовой охране секрета производства (ноу-хау). Он не затрагивает условия конфиденциальности, коммерческой ценности или мер по сохранению информации, поэтому противоречия нет, просто текст не соответствует теме.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Заменить общий заголовок «Внесение изменений» на конкретные положения, описывающие, какие именно изменения вносятся и как они соответствуют условиям охраны ноу-хау, указанные в статье 1010.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устанавливает, что за разглашение коммерческой тайны предусмотрена ответственность в соответствии с законодательными актами, не ограничивая её только дисциплинарной мерой. Требование возмещения упущенной выгоды является формой гражданско-правовой ответственности, которая может быть предусмотрена другими нормативными актами, поэтому новое формулирование не противоречит статье.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Сохранить формулировку о возмещении упущенной выгоды, при необходимости уточнить, что она реализуется в рамках гражданско-правовых норм, например, Гражданского кодекса Республики Беларусь.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устанавливает обязанность подписать обязательство о неразглашении по требованию нанимателя, но не фиксирует срок его подписания. Добавление внутреннего срока в 3 дня не противоречит закону, а лишь уточняет порядок исполнения обязательства.</w:t>
      </w:r>
    </w:p>
    <w:p>
      <w:r>
        <w:rPr>
          <w:b/>
        </w:rPr>
        <w:t xml:space="preserve">Основание: </w:t>
      </w:r>
      <w:r>
        <w:t>C:\Users\Lenovo\Downloads\H11300016_1357765200,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так как оно не нарушает закон, но при желании можно уточнить, что срок является внутренним регламентом работодателя.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устанавливает, что условия и порядок отнесения информации к служебной тайне определяются законодательством, но не регламентирует, каким органом или в какой форме принимается решение о допуске. Поэтому утверждение, что решение принимает служба безопасности единолично, не противоречит данному требованию.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Сохранить формулировку, но при необходимости уточнить, что такой порядок одобрения соответствует другим нормативным актам, регулирующим допуск к служебной тайне.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