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13:02:21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лишь устанавливает ответственность за препятствование правомерному доступу к сведениям, составляющим коммерческую тайну. Она не предписывает, какие категории работников могут иметь доступ к такой информации. Ограничение доступа только работникам, имеющим допуск к государственной тайне, не противоречит формулировке закона, хотя и является более строгим требованием, но законом не запрещено.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Если цель — обеспечить более широкий доступ в рамках должностных обязанностей, можно добавить отдельный пункт, разрешающий доступ работникам без допуска к государственной тайне, но только в пределах их служебных функций, чтобы не ограничивать их права без необходимости.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требует, чтобы изменения и дополнения к кодексам оформлялись в соответствии с установленным порядком нумерации и датирования. Переприсвоение номера с № 5 на № 12 без указания промежуточных актов нарушает принцип последовательности и может указывать на отсутствие необходимых процедур утверждения.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Сохранить оригинальный номер и дату (от 15.01.2025 № 5) либо оформить новое изменение как отдельный акт с корректным порядковым номером, следуя последовательности (например, № 6, если предыдущий был № 5), и обеспечить документальное подтверждение всех промежуточных изменений.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определяет коммерческую тайну как сведения, имеющие коммерческую ценность, не являющиеся общедоступными и защищаемые от раскрытия. Сведения о задолженности по выплате заработной платы и о нарушениях трудовой дисциплины относятся к персональным данным работников и не обладают коммерческой ценностью в смысле закона, поэтому их включение в перечень коммерческой тайны противоречит требованию о характере таких сведений.</w:t>
      </w:r>
    </w:p>
    <w:p>
      <w:r>
        <w:rPr>
          <w:b/>
        </w:rPr>
        <w:t xml:space="preserve">Основание: </w:t>
      </w:r>
      <w:r>
        <w:t>H11300016_1357765200, ст.1 (часть 2)</w:t>
      </w:r>
    </w:p>
    <w:p>
      <w:r>
        <w:rPr>
          <w:b/>
        </w:rPr>
        <w:t xml:space="preserve">Решение: </w:t>
      </w:r>
      <w:r>
        <w:t>Исключить из перечня коммерческой тайны сведения о задолженности по выплате заработной платы и о нарушениях трудовой дисциплины; оставить только сведения, имеющие коммерческую ценность (финансовое состояние, клиенты, поставщики, разрабатываемые технологии и т.п.).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лишь указывает, что за разглашение коммерческой тайны наступает ответственность в соответствии с законодательными актами, но не предписывает конкретный вид ответственности – возмещение упущенной выгоды. В тексте изменения введено обязательство возмещения, чего закон не требует, что приводит к несоответствию.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Убрать обязательство возмещения упущенной выгоды и указать, что за разглашение коммерческой тайны работник может быть привлечён к ответственности в порядке, установленном законодательными актами (например, дисциплинарной ответственности).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заголовок «Ответственность за нарушение» не противоречит статье 21, которая регулирует порядок внесения изменений и дополнений в кодексы. Текст не нарушает требования закона и не содержит запрещённых положений.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Изменения могут быть оставлены без исправлений, так как они соответствуют требованиям статьи.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«Внесение изменений» не содержит требований, ограничений или положений, противоречащих условиям правовой охраны секрета производства (ноу-хау), изложенным в статье 1010. Он не относится к содержанию, способу раскрытия или использованию ноу-хау, поэтому не нарушает закон.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Сохранить добавленный текст без изменений, так как он не противоречит требованиям статьи.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Текст вводит внутреннее требование работодателя о подписании обязательства в течение 3 дней после ознакомления с Положением. Закон не устанавливает конкретный срок подписания обязательства и не запрещает работодателю устанавливать такие сроки. Поэтому данное требование не противоречит статье 17.</w:t>
      </w:r>
    </w:p>
    <w:p>
      <w:r>
        <w:rPr>
          <w:b/>
        </w:rPr>
        <w:t xml:space="preserve">Основание: </w:t>
      </w:r>
      <w:r>
        <w:t>H11300016_1357765200, ст.17</w:t>
      </w:r>
    </w:p>
    <w:p>
      <w:r>
        <w:rPr>
          <w:b/>
        </w:rPr>
        <w:t xml:space="preserve">Решение: </w:t>
      </w:r>
      <w:r>
        <w:t>Никаких изменений не требуется; требование о сроке подписания может оставаться.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лишь указывает, что условия и порядок отнесения информации к служебной тайне определяются законодательством, но не регулирует, каким органом и каким образом принимается решение о допуске. Поэтому добавленное положение о единоличном решении службы безопасности не противоречит указанному требованию.</w:t>
      </w:r>
    </w:p>
    <w:p>
      <w:r>
        <w:rPr>
          <w:b/>
        </w:rPr>
        <w:t xml:space="preserve">Основание: </w:t>
      </w:r>
      <w:r>
        <w:t>C:\Users\Lenovo\Downloads\H11300016_1357765200, ст.3</w:t>
      </w:r>
    </w:p>
    <w:p>
      <w:r>
        <w:rPr>
          <w:b/>
        </w:rPr>
        <w:t xml:space="preserve">Решение: </w:t>
      </w:r>
      <w:r>
        <w:t>Сохранить формулировку, но при необходимости уточнить в нормативных актах, какие именно процедуры допуска предусмотрены, чтобы обеспечить соответствие более детальным требованиям законодательства.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