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Юридическое заключение по результатам сравнения</w:t>
      </w:r>
    </w:p>
    <w:p>
      <w:r>
        <w:t>Дата отчета: 2026-03-20 13:29:06</w:t>
      </w:r>
    </w:p>
    <w:p>
      <w:r>
        <w:t>Документ: new_test.docx</w:t>
      </w:r>
    </w:p>
    <w:p>
      <w:r>
        <w:t>------------------------------</w:t>
      </w:r>
    </w:p>
    <w:p>
      <w:pPr>
        <w:pStyle w:val="Heading1"/>
      </w:pPr>
      <w:r>
        <w:rPr>
          <w:color w:val="C80000"/>
        </w:rPr>
        <w:t>1. КРИТИЧЕСКИЕ РИСКИ (КРАСНАЯ ЗОНА)</w:t>
      </w:r>
    </w:p>
    <w:p>
      <w:pPr>
        <w:pStyle w:val="Heading2"/>
      </w:pPr>
      <w:r>
        <w:t>Пункт 2.1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К коммерческой тайне Общества относятся: - сведения о финансовом состоянии; - сведения о клиентах и поставщиках; - сведения о разрабатываемых технологиях.</w:t>
            </w:r>
          </w:p>
        </w:tc>
        <w:tc>
          <w:tcPr>
            <w:tcW w:type="dxa" w:w="4320"/>
          </w:tcPr>
          <w:p>
            <w:r>
              <w:t>СТАЛО:</w:t>
              <w:br/>
              <w:t>К коммерческой тайне Общества относятся: - сведения о финансовом состоянии; - сведения о клиентах и поставщиках; - сведения о задолженности по выплате заработной платы - сведения о нарушениях трудовой дисциплины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11 (часть 2) регулирует ответственность за препятствование доступу к сведениям, составляющим коммерческую тайну, но не определяет перечень сведений, которые могут быть отнесены к коммерческой тайне. Поэтому добавление сведений о задолженности по выплате заработной платы и нарушениях трудовой дисциплины не противоречит требованиям данной статьи.</w:t>
      </w:r>
    </w:p>
    <w:p>
      <w:r>
        <w:rPr>
          <w:b/>
        </w:rPr>
        <w:t xml:space="preserve">Основание: </w:t>
      </w:r>
      <w:r>
        <w:t>H11300016_1357765200, ст.11 (часть 2)</w:t>
      </w:r>
    </w:p>
    <w:p>
      <w:r>
        <w:rPr>
          <w:b/>
        </w:rPr>
        <w:t xml:space="preserve">Решение: </w:t>
      </w:r>
      <w:r>
        <w:t>При необходимости уточнить, что такие сведения могут подпадать под действие закона о персональных данных, и обеспечить их защиту в соответствии с этим законом.</w:t>
      </w:r>
    </w:p>
    <w:p>
      <w:r>
        <w:rPr>
          <w:b/>
          <w:color w:val="C80000"/>
        </w:rPr>
        <w:t xml:space="preserve">Статус: </w:t>
      </w:r>
      <w:r>
        <w:rPr>
          <w:i/>
        </w:rPr>
        <w:t>Критическая ошибка. Требуется исправление.</w:t>
      </w:r>
    </w:p>
    <w:p/>
    <w:p>
      <w:pPr>
        <w:pStyle w:val="Heading2"/>
      </w:pPr>
      <w:r>
        <w:t>Пункт 4.1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Доступ к сведениям, составляющим коммерческую тайну, предоставляется работникам в соответствии с их должностными обязанностями.</w:t>
            </w:r>
          </w:p>
        </w:tc>
        <w:tc>
          <w:tcPr>
            <w:tcW w:type="dxa" w:w="4320"/>
          </w:tcPr>
          <w:p>
            <w:r>
              <w:t>СТАЛО:</w:t>
              <w:br/>
              <w:t>Доступ к сведениям, составляющим коммерческую тайну, предоставляется только работникам, имеющим допуск к государственной тайне.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16 устанавливает, что доступ к сведениям, составляющим коммерческую тайну, предоставляется работникам в соответствии с их должностными обязанностями. Новое требование ограничивает доступ только работникам, имеющим допуск к государственной тайне, что вводит дополнительное условие, не предусмотренное законом, и тем самым противоречит принципу предоставления доступа на основе служебных нужд.</w:t>
      </w:r>
    </w:p>
    <w:p>
      <w:r>
        <w:rPr>
          <w:b/>
        </w:rPr>
        <w:t xml:space="preserve">Основание: </w:t>
      </w:r>
      <w:r>
        <w:t>H11300016_1357765200, ст.16</w:t>
      </w:r>
    </w:p>
    <w:p>
      <w:r>
        <w:rPr>
          <w:b/>
        </w:rPr>
        <w:t xml:space="preserve">Решение: </w:t>
      </w:r>
      <w:r>
        <w:t>Вернуть формулировку, основанную на должностных обязанностях, либо добавить уточнение, что наличие допуска к государственной тайне не является обязательным условием для доступа к коммерческой тайне, если это не требуется служебными задачами.</w:t>
      </w:r>
    </w:p>
    <w:p>
      <w:r>
        <w:rPr>
          <w:b/>
          <w:color w:val="C80000"/>
        </w:rPr>
        <w:t xml:space="preserve">Статус: </w:t>
      </w:r>
      <w:r>
        <w:rPr>
          <w:i/>
        </w:rPr>
        <w:t>Критическая ошибка. Требуется исправление.</w:t>
      </w:r>
    </w:p>
    <w:p/>
    <w:p>
      <w:pPr>
        <w:pStyle w:val="Heading2"/>
      </w:pPr>
      <w:r>
        <w:t>Пункт 6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Внесение изменений</w:t>
            </w:r>
          </w:p>
        </w:tc>
      </w:tr>
    </w:tbl>
    <w:p>
      <w:r>
        <w:rPr>
          <w:b/>
        </w:rPr>
        <w:br/>
        <w:t xml:space="preserve">Анализ LLM: </w:t>
      </w:r>
      <w:r>
        <w:t>Добавленный текст содержит лишь фразу «Внесение изменений», тогда как статья 21 требует указания как изменений, так и дополнений в кодексы. Отсутствие части «и дополнений в кодексы» делает формулировку неполной и несоответствующей требованию закона.</w:t>
      </w:r>
    </w:p>
    <w:p>
      <w:r>
        <w:rPr>
          <w:b/>
        </w:rPr>
        <w:t xml:space="preserve">Основание: </w:t>
      </w:r>
      <w:r>
        <w:t>H11300016_1357765200, ст.21</w:t>
      </w:r>
    </w:p>
    <w:p>
      <w:r>
        <w:rPr>
          <w:b/>
        </w:rPr>
        <w:t xml:space="preserve">Решение: </w:t>
      </w:r>
      <w:r>
        <w:t>Дополнить текст до полного соответствия статье: «Внесение изменений и дополнений в кодексы».</w:t>
      </w:r>
    </w:p>
    <w:p>
      <w:r>
        <w:rPr>
          <w:b/>
          <w:color w:val="C80000"/>
        </w:rPr>
        <w:t xml:space="preserve">Статус: </w:t>
      </w:r>
      <w:r>
        <w:rPr>
          <w:i/>
        </w:rPr>
        <w:t>Критическая ошибка. Требуется исправление.</w:t>
      </w:r>
    </w:p>
    <w:p/>
    <w:p>
      <w:pPr>
        <w:pStyle w:val="Heading1"/>
      </w:pPr>
      <w:r>
        <w:rPr>
          <w:color w:val="DAA520"/>
        </w:rPr>
        <w:t>2. СРЕДНИЕ РИСКИ (ЖЕЛТАЯ ЗОНА)</w:t>
      </w:r>
    </w:p>
    <w:p>
      <w:pPr>
        <w:pStyle w:val="Heading2"/>
      </w:pPr>
      <w:r>
        <w:t>Пункт 3.2 → 5.1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За разглашение коммерческой тайны работники могут быть привлечены к дисциплинарной ответственности.</w:t>
            </w:r>
          </w:p>
        </w:tc>
        <w:tc>
          <w:tcPr>
            <w:tcW w:type="dxa" w:w="4320"/>
          </w:tcPr>
          <w:p>
            <w:r>
              <w:t>СТАЛО:</w:t>
              <w:br/>
              <w:t>За разглашение коммерческой тайны работник обязан возместить упущенную выгоду Общества.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11 (часть 2) указывает, что за разглашение коммерческой тайны наступает ответственность в соответствии с законодательными актами, но не предписывает обязательного возмещения упущенной выгоды работником. Введённое изменение устанавливает обязанность возмещения, чего закон не предусматривает, тем самым создаёт требование, не основанное на нормативном акте.</w:t>
      </w:r>
    </w:p>
    <w:p>
      <w:r>
        <w:rPr>
          <w:b/>
        </w:rPr>
        <w:t xml:space="preserve">Основание: </w:t>
      </w:r>
      <w:r>
        <w:t>C:\Users\Lenovo\Downloads\H11300016_1357765200, ст.11 (часть 2)</w:t>
      </w:r>
    </w:p>
    <w:p>
      <w:r>
        <w:rPr>
          <w:b/>
        </w:rPr>
        <w:t xml:space="preserve">Решение: </w:t>
      </w:r>
      <w:r>
        <w:t>Убрать обязательство возмещения упущенной выгоды из текста и указать, что ответственность за разглашение коммерческой тайны определяется в соответствии с действующим законодательством (дисциплинарная, административная или гражданско-правовая ответственность).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1"/>
      </w:pPr>
      <w:r>
        <w:rPr>
          <w:color w:val="228B22"/>
        </w:rPr>
        <w:t>3. НИЗКИЙ РИСК / ТЕХНИЧЕСКИЕ ПРАВКИ</w:t>
      </w:r>
    </w:p>
    <w:p>
      <w:pPr>
        <w:pStyle w:val="Heading2"/>
      </w:pPr>
      <w:r>
        <w:t>Пункт —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от 15.01.2025 № 5</w:t>
            </w:r>
          </w:p>
        </w:tc>
        <w:tc>
          <w:tcPr>
            <w:tcW w:type="dxa" w:w="4320"/>
          </w:tcPr>
          <w:p>
            <w:r>
              <w:t>СТАЛО:</w:t>
              <w:br/>
              <w:t>от 20.03.2026 № 12</w:t>
            </w:r>
          </w:p>
        </w:tc>
      </w:tr>
    </w:tbl>
    <w:p>
      <w:r>
        <w:rPr>
          <w:b/>
        </w:rPr>
        <w:br/>
        <w:t xml:space="preserve">Анализ LLM: </w:t>
      </w:r>
      <w:r>
        <w:t>Изменение даты и номера соответствует требованиям статьи 21, согласно которой при внесении изменений указываются актуальная дата и порядковый номер. Новая дата позже предыдущей, а номер увеличен, что не противоречит закону.</w:t>
      </w:r>
    </w:p>
    <w:p>
      <w:r>
        <w:rPr>
          <w:b/>
        </w:rPr>
        <w:t xml:space="preserve">Основание: </w:t>
      </w:r>
      <w:r>
        <w:t>C:\Users\Lenovo\Downloads\H11300016_1357765200, ст.21</w:t>
      </w:r>
    </w:p>
    <w:p>
      <w:r>
        <w:rPr>
          <w:b/>
        </w:rPr>
        <w:t xml:space="preserve">Решение: </w:t>
      </w:r>
      <w:r>
        <w:t>Изменение корректно, дополнительных правок не требуется.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4.2 (deleted)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Допуск работников осуществляется на основании приказа директора.</w:t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5 (deleted)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Заключительные положения</w:t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5.1 → 6.1 (moved)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5.2 → 6.2 (moved)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3.2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Работники обязаны подписать обязательство о неразглашении коммерческой тайны в течение 3 дней с даты ознакомления с Положением.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17 закона лишь устанавливает, что наниматель вправе определить работников, с которыми необходимо заключить обязательство о неразглашении, но не регламентирует срок, в течение которого обязательство должно быть подписано. Добавление требования подписать обязательство в течение 3 дней не противоречит закону, а лишь вводит дополнительный внутренний срок.</w:t>
      </w:r>
    </w:p>
    <w:p>
      <w:r>
        <w:rPr>
          <w:b/>
        </w:rPr>
        <w:t xml:space="preserve">Основание: </w:t>
      </w:r>
      <w:r>
        <w:t>H11300016_1357765200, ст.17</w:t>
      </w:r>
    </w:p>
    <w:p>
      <w:r>
        <w:rPr>
          <w:b/>
        </w:rPr>
        <w:t xml:space="preserve">Решение: </w:t>
      </w:r>
      <w:r>
        <w:t>Сохранить требование о подписании в течение 3 дней, так как оно не нарушает закон, но при желании можно уточнить, что срок является внутренним регламентом организации и не ограничивает права работников.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4.2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Решение о допуске принимает служба безопасности единолично.</w:t>
            </w:r>
          </w:p>
        </w:tc>
      </w:tr>
    </w:tbl>
    <w:p>
      <w:r>
        <w:rPr>
          <w:b/>
        </w:rPr>
        <w:br/>
        <w:t xml:space="preserve">Анализ LLM: </w:t>
      </w:r>
      <w:r>
        <w:t>Добавленное положение о том, что решение о допуске принимает служба безопасности единолично, не относится к регулированию коммерческой тайны и не противоречит статье 11 части 2, которая описывает ответственность за препятствование правомерному доступу к сведениям, составляющим коммерческую тайну.</w:t>
      </w:r>
    </w:p>
    <w:p>
      <w:r>
        <w:rPr>
          <w:b/>
        </w:rPr>
        <w:t xml:space="preserve">Основание: </w:t>
      </w:r>
      <w:r>
        <w:t>H11300016_1357765200, ст.11 (часть 2)</w:t>
      </w:r>
    </w:p>
    <w:p>
      <w:r>
        <w:rPr>
          <w:b/>
        </w:rPr>
        <w:t xml:space="preserve">Решение: </w:t>
      </w:r>
      <w:r>
        <w:t>Поскольку положение не конфликтует с законом, исправления не требуются. При необходимости уточнить компетенцию службы безопасности в отдельном нормативном акте.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5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Ответственность за нарушение</w:t>
            </w:r>
          </w:p>
        </w:tc>
      </w:tr>
    </w:tbl>
    <w:p>
      <w:r>
        <w:rPr>
          <w:b/>
        </w:rPr>
        <w:br/>
        <w:t xml:space="preserve">Анализ LLM: </w:t>
      </w:r>
      <w:r>
        <w:t>Добавленный фрагмент представляет собой лишь заголовок «Ответственность за нарушение» и не содержит конкретных положений, требуемых статьёй 1011, где описывается ответственность за незаконное использование секрета производства (ноу‑хау). Текст не противоречит закону, но не соответствует его требованиям.</w:t>
      </w:r>
    </w:p>
    <w:p>
      <w:r>
        <w:rPr>
          <w:b/>
        </w:rPr>
        <w:t xml:space="preserve">Основание: </w:t>
      </w:r>
      <w:r>
        <w:t>C:\Users\Lenovo\Downloads\H11300016_1357765200, ст.1011</w:t>
      </w:r>
    </w:p>
    <w:p>
      <w:r>
        <w:rPr>
          <w:b/>
        </w:rPr>
        <w:t xml:space="preserve">Решение: </w:t>
      </w:r>
      <w:r>
        <w:t>Заменить заголовок более подробным пунктом, в котором указать конкретные виды ответственности (штраф, административный арест, уголовное наказание) за незаконное использование секрета производства в соответствии со статьёй 1011.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