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12:40:43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устанавливает, что нарушение коммерческой тайны влечет ответственность в соответствии с законодательными актами, но не предписывает возмещение упущенной выгоды работником. Внесённое изменение вводит обязательство возмещения, чего нет в законе, тем самым создаёт требование, противоречащее нормативному регулированию.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Убрать обязательство возмещения упущенной выгоды и заменить формулировку на «за разглашение коммерческой тайны работник может быть привлечён к ответственности в соответствии с законодательными актами», либо уточнить, что возмещение возможно только в случае, если такое предусмотрено отдельным нормативным актом.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лишь устанавливает ответственность за препятствование правомерному получению доступа к сведениям, составляющим коммерческую тайну, но не ограничивает круг лиц, имеющих право доступа, требованием наличия допуска к государственной тайне. Новое формулирование вводит дополнительное ограничение, не предусмотренное законом, тем самым противоречит его духу о свободном доступе уполномоченных лиц.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ориентированную на должностные обязанности (например, «Доступ к сведениям, составляющим коммерческую тайну, предоставляется работникам в соответствии с их должностными обязанностями»), либо уточнить, что ограничение допуска к государственной тайне может применяться только в случаях, предусмотренных отдельными нормативными актами, а не как общее правило.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 (часть 2) лишь определяет, что сведения, составляющие коммерческую тайну, должны сохраняться в конфиденциальности и не раскрываются без согласия владельца или законного основания. В ней не перечисляются конкретные категории информации, которые могут или не могут быть отнесены к коммерческой тайне. Поэтому добавление пунктов о задолженности по выплате заработной платы и нарушениях трудовой дисциплины не противоречит данному тексту закона, хотя их включение может потребовать соблюдения иных нормативных актов (например, законов о персональных данных и трудовом праве).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</w:rPr>
        <w:t xml:space="preserve">Решение: </w:t>
      </w:r>
      <w:r>
        <w:t>Убедиться, что сведения о задолженности по выплате заработной платы и нарушениях трудовой дисциплины действительно обладают коммерческой ценностью и находятся в сфере конфиденциальности, а также обеспечить их защиту в соответствии с законодательством о персональных данных и трудовых отношениях (получить согласие работников или иное законное основание).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представляет собой заголовок "Ответственность за нарушение" и не противоречит статье, регулирующей порядок внесения изменений и дополнений в кодексы. Он не нарушает требования процедуры, установленной законом.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Сохранить добавленный заголовок без изменений, так как он соответствует требованиям статьи.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заголовок «Внесение изменений», который не противоречит требованию статьи о внесении изменений и дополнений в кодексы и не нарушает процедурные нормы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Сохранить текущий текст, так как он соответствует требованиям закона.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нормативного акта соответствует формальному требованию статьи 21, которая регламентирует порядок внесения изменений в кодексы. Формат «от ДД.MM.ГГГГ № X» сохранён, дата актуальна, номер находится в допустимом диапазоне и не нарушает порядок нумерации, если предшествующие номера использованы ранее.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Сохранить текущий формат и убедиться, что номер 12 не дублирует уже существующий акт, а последовательность номеров соблюдается в реестре нормативных правовых актов.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Текст вводит требование подписать обязательство о неразглашении в течение 3 дней после ознакомления с Положением. Закон не устанавливает конкретный срок подписания обязательства, а лишь даёт работодателю право определить работников, с которыми обязательство должно быть заключено. Добавление срока не противоречит требованиям закона, поскольку не ограничивает права работников и не нарушает обязательные положения закона.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но убедиться, что такой срок не препятствует работникам своевременно ознакомиться с обязательством и не нарушает их трудовые права.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лишь устанавливает, что условия и порядок отнесения информации к служебной тайне определяются законодательством, но не регламентирует, каким органом или в какой форме принимается решение о допуске. Поэтому добавленное положение о единоличном решении службы безопасности не противоречит указанному требованию.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 с точки зрения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