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15:35:04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определяет коммерческую тайну как сведения, имеющие коммерческую ценность и относящиеся к деятельности предприятия. Сведения о задолженности по выплате заработной платы и о нарушениях трудовой дисциплины относятся к персональным данным работников, а не к коммерческой информации предприятия, поэтому их включение в перечень коммерческой тайны противоречит смыслу закона.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</w:rPr>
        <w:t xml:space="preserve">Решение: </w:t>
      </w:r>
      <w:r>
        <w:t>Исключить из перечня коммерческой тайны сведения о задолженности по выплате заработной платы и о нарушениях трудовой дисциплины; такие сведения следует регулировать отдельными нормами о защите персональных данных и трудовых отношений, а не отнести к коммерческой тайне.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соответствует требованиям статьи 21, согласно которой изменения и дополнения в кодексы должны оформляться документами с датой, не предшествующей предыдущей, и с последовательным увеличением номера. Новая дата 20.03.2026 позже прежней 15.01.2025, а номер 12 больше прежнего №5, что не нарушает закон.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Изменения корректны; дополнительных правок не требуется.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18 устанавливает, что за разглашение коммерческой тайны лица несут ответственность в порядке, предусмотренном законодательными актами, без указания конкретного вида ответственности. Введение обязательства возмещения упущенной выгоды является одной из возможных форм ответственности, поэтому новое формулирование не противоречит закону.</w:t>
      </w:r>
    </w:p>
    <w:p>
      <w:r>
        <w:rPr>
          <w:b/>
        </w:rPr>
        <w:t xml:space="preserve">Основание: </w:t>
      </w:r>
      <w:r>
        <w:t>H11300016_1357765200, ст.18</w:t>
      </w:r>
    </w:p>
    <w:p>
      <w:r>
        <w:rPr>
          <w:b/>
        </w:rPr>
        <w:t xml:space="preserve">Решение: </w:t>
      </w:r>
      <w:r>
        <w:t>Текст можно оставить без изменений, так как он соответствует требованиям закона.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предусматривает ответственность за препятствование правомерному получению доступа к сведениям, составляющим коммерческую тайну. Закон не ограничивает доступ только работниками, имеющими допуск к государственной тайне, а подразумевает доступ тем, кто имеет законные основания (например, в соответствии с должностными обязанностями). Новое ограничение вводит более строгий критерий, который может препятствовать законному доступу, тем самым противоречит духу и требованиям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работникам в соответствии с их должностными обязанностями, либо уточнить, что доступ предоставляется тем, кто имеет законные основания, без обязательного требования допуска к государственной тайне.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представляет собой лишь общий заголовок «Ответственность за нарушение» и не содержит конкретных положений, требуемых статьёй 1011, где описывается ответственность за незаконное использование секрета производства (ноу‑хау). Отсутствие указания на виды ответственности (уголовную, административную, гражданскую) и меры наказания делает текст несоответствующим требованиям закона.</w:t>
      </w:r>
    </w:p>
    <w:p>
      <w:r>
        <w:rPr>
          <w:b/>
        </w:rPr>
        <w:t xml:space="preserve">Основание: </w:t>
      </w:r>
      <w:r>
        <w:t>C:\Users\Lenovo\Downloads\H11300016_1357765200, ст.1011</w:t>
      </w:r>
    </w:p>
    <w:p>
      <w:r>
        <w:rPr>
          <w:b/>
        </w:rPr>
        <w:t xml:space="preserve">Решение: </w:t>
      </w:r>
      <w:r>
        <w:t>Заменить заголовок более конкретным описанием, например: «Ответственность за незаконное использование секрета производства (ноу‑хау)», и включить положения о применимых видах ответственности (уголовной, административной, гражданской) в соответствии с нормами статьи 1011.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состоит лишь из фразы «Внесение изменений», тогда как статья 21 требует конкретного описания изменений и дополнений в кодексах. Отсутствие деталей о том, какие нормы изменяются, противоречит требованиям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Указать конкретные положения, которые изменяются или дополняются: номер статьи, пункт, формулировку изменения, обоснование и порядок вступления в силу.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17 закона лишь устанавливает право нанимателя определять работников, с которыми необходимо заключить обязательство о неразглашении, и описывает содержание обязательства. Срок, в течение которого работник должен подписать обязательство, в законе не регламентируется, поэтому требование подписать его в течение 3 дней не противоречит законодательству.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убедившись, что срок является разумным и не нарушает трудовые права работников.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Добавленное предложение о том, что решение о допуске принимает служба безопасности единолично, не относится к регулированию коммерческой тайны и не противоречит положениям статьи 11 части 2, где говорится о ответственности за препятствование доступу к сведениям, составляющим коммерческую тайну.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Изменение не требует корректировки с точки зрения данной статьи закона.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