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15:00:51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фрагмент представляет собой лишь заголовок «Ответственность за нарушение» и не содержит конкретных положений, требуемых статьёй 1011, которая регламентирует ответственность за незаконное использование секрета производства (ноу-хау). Таким образом, нет прямого или косвенного противоречия с текстом закона, но материал не соответствует требованиям статьи.</w:t>
      </w:r>
    </w:p>
    <w:p>
      <w:r>
        <w:rPr>
          <w:b/>
        </w:rPr>
        <w:t xml:space="preserve">Основание: </w:t>
      </w:r>
      <w:r>
        <w:t>H11300016_1357765200, ст.1011</w:t>
      </w:r>
    </w:p>
    <w:p>
      <w:r>
        <w:rPr>
          <w:b/>
        </w:rPr>
        <w:t xml:space="preserve">Решение: </w:t>
      </w:r>
      <w:r>
        <w:t>Заменить заголовок более конкретным пунктом, в котором подробно описываются виды ответственности (административной, гражданской, уголовной) за незаконное использование секрета производства, указать размеры штрафов, порядок возмещения убытков и другие меры, предусмотренные статьёй 1011.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В статье 21 указано, что необходимо внесение как изменений, так и дополнений в кодексы. Добавленный текст содержит лишь фразу «Внесение изменений», не упоминая дополнения, что не полностью соответствует требованию закона.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Дополнить текст до «Внесение изменений и дополнений», чтобы полностью соответствовать статье 21.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В статье определяется, что коммерческой тайной являются сведения, имеющие коммерческую ценность и защищаемые от раскрытия без согласия владельца. Информация о задолженности по выплате заработной платы и о нарушениях трудовой дисциплины относится к персональным данным работников, а не к коммерческой информации, и регулируется отдельными нормами о защите персональных данных и трудовом законодательстве. Включение таких сведений в перечень коммерческой тайны противоречит смыслу закона о коммерческой тайне.</w:t>
      </w:r>
    </w:p>
    <w:p>
      <w:r>
        <w:rPr>
          <w:b/>
        </w:rPr>
        <w:t xml:space="preserve">Основание: </w:t>
      </w:r>
      <w:r>
        <w:t>C:\Users\Lenovo\Downloads\H11300016_1357765200, ст.1 (часть 2)</w:t>
      </w:r>
    </w:p>
    <w:p>
      <w:r>
        <w:rPr>
          <w:b/>
        </w:rPr>
        <w:t xml:space="preserve">Решение: </w:t>
      </w:r>
      <w:r>
        <w:t>Удалить из перечня коммерческой тайны сведения о задолженности по выплате заработной платы и о нарушениях трудовой дисциплины; оставить только сведения, имеющие коммерческую ценность (финансовое состояние, данные о клиентах и поставщиках, разрабатываемые технологии и т.п.). При необходимости защищать персональные данные работников использовать нормы о персональных данных и трудовом законодательстве.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лишь указывает, что за разглашение коммерческой тайны наступает ответственность в соответствии с законодательными актами, не ограничивая её конкретным видом. Введение обязательства возмещения упущенной выгоды работником не противоречит статье, так как это может быть одной из форм ответственности, предусмотренных другими нормативными актами.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Убедиться, что в других нормативных актах (например, Трудовом кодексе, Гражданском кодексе) предусмотрено возмещение упущенной выгоды за разглашение коммерческой тайны, и при необходимости добавить ссылку на соответствующий нормативный акт.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закона лишь запрещает препятствовать законному доступу к сведениям, составляющим коммерческую тайну, но не устанавливает требование наличия допуска к государственной тайне для такого доступа. Новое требование ограничивает доступ только сотрудникам с допуском к государственной тайне, что не предусмотрено законом и может рассматриваться как необоснованное препятствие к законному доступу.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Установить доступ к сведениям, составляющим коммерческую тайну, в соответствии с должностными обязанностями сотрудников, без обязательного требования наличия допуска к государственной тайне, либо добавить отдельный нормативный акт, который явно разрешает такое ограничение.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регулирует порядок внесения изменений и дополнений в кодексы, требуя указания даты и номера изменения. Замена даты и номера на более актуальные (от 20.03.2026 № 12) соответствует требованиям закона и не противоречит ему.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Никаких исправлений не требуется; изменение даты и номера соответствует требованиям статьи 21.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17 закона лишь устанавливает, что наниматель вправе определить работников, с которыми необходимо заключить обязательство о неразглашении, и описывает содержание обязательства, но не фиксирует обязательный срок его подписания. Установление внутреннего срока в 3 дня не противоречит закону, поскольку это внутреннее регламентирующее требование работодателя, а не запрет, установленный законом.</w:t>
      </w:r>
    </w:p>
    <w:p>
      <w:r>
        <w:rPr>
          <w:b/>
        </w:rPr>
        <w:t xml:space="preserve">Основание: </w:t>
      </w:r>
      <w:r>
        <w:t>H11300016_1357765200, ст.17</w:t>
      </w:r>
    </w:p>
    <w:p>
      <w:r>
        <w:rPr>
          <w:b/>
        </w:rPr>
        <w:t xml:space="preserve">Решение: </w:t>
      </w:r>
      <w:r>
        <w:t>Сохранить требование о подписании в течение 3 дней, но убедиться, что срок реалистичен и не нарушает трудовые права работников; при необходимости добавить пояснение, что срок может быть продлен по согласованию.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3 регулирует лишь условия и порядок отнесения информации к служебной тайне, но не определяет, каким органом принимается решение о допуске. Поэтому добавленное положение о единоличном решении службы безопасности не противоречит указанному требованию закона.</w:t>
      </w:r>
    </w:p>
    <w:p>
      <w:r>
        <w:rPr>
          <w:b/>
        </w:rPr>
        <w:t xml:space="preserve">Основание: </w:t>
      </w:r>
      <w:r>
        <w:t>C:\Users\Lenovo\Downloads\H11300016_1357765200, ст.3</w:t>
      </w:r>
    </w:p>
    <w:p>
      <w:r>
        <w:rPr>
          <w:b/>
        </w:rPr>
        <w:t xml:space="preserve">Решение: </w:t>
      </w:r>
      <w:r>
        <w:t>Изменение не требует исправления с точки зрения данной статьи.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