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Юридическое заключение по результатам сравнения</w:t>
      </w:r>
    </w:p>
    <w:p>
      <w:r>
        <w:t>Дата отчета: 2026-03-20 16:01:23</w:t>
      </w:r>
    </w:p>
    <w:p>
      <w:r>
        <w:t>Документ: new_test_6zlIHus.docx</w:t>
      </w:r>
    </w:p>
    <w:p>
      <w:r>
        <w:t>------------------------------</w:t>
      </w:r>
    </w:p>
    <w:p>
      <w:pPr>
        <w:pStyle w:val="Heading1"/>
      </w:pPr>
      <w:r>
        <w:rPr>
          <w:color w:val="C80000"/>
        </w:rPr>
        <w:t>1. КРИТИЧЕСКИЕ РИСКИ (КРАСНАЯ ЗОНА)</w:t>
      </w:r>
    </w:p>
    <w:p>
      <w:pPr>
        <w:pStyle w:val="Heading2"/>
      </w:pPr>
      <w:r>
        <w:t>Пункт 4.1 (modified)</w:t>
      </w:r>
    </w:p>
    <w:tbl>
      <w:tblPr>
        <w:tblStyle w:val="TableGrid"/>
        <w:tblW w:type="auto" w:w="0"/>
        <w:tblLook w:firstColumn="1" w:firstRow="1" w:lastColumn="0" w:lastRow="0" w:noHBand="0" w:noVBand="1" w:val="04A0"/>
      </w:tblPr>
      <w:tblGrid>
        <w:gridCol w:w="4320"/>
        <w:gridCol w:w="4320"/>
      </w:tblGrid>
      <w:tr>
        <w:tc>
          <w:tcPr>
            <w:tcW w:type="dxa" w:w="4320"/>
          </w:tcPr>
          <w:p>
            <w:r>
              <w:t>БЫЛО:</w:t>
              <w:br/>
              <w:t>Доступ к сведениям, составляющим коммерческую тайну, предоставляется работникам в соответствии с их должностными обязанностями.</w:t>
            </w:r>
          </w:p>
        </w:tc>
        <w:tc>
          <w:tcPr>
            <w:tcW w:type="dxa" w:w="4320"/>
          </w:tcPr>
          <w:p>
            <w:r>
              <w:t>СТАЛО:</w:t>
              <w:br/>
              <w:t>Доступ к сведениям, составляющим коммерческую тайну, предоставляется только работникам, имеющим допуск к государственной тайне.</w:t>
            </w:r>
          </w:p>
        </w:tc>
      </w:tr>
    </w:tbl>
    <w:p>
      <w:r>
        <w:rPr>
          <w:b/>
        </w:rPr>
        <w:br/>
        <w:t xml:space="preserve">Анализ LLM: </w:t>
      </w:r>
      <w:r>
        <w:t>Статья 16 регулирует обязанности работников по соблюдению конфиденциальности коммерческой тайны и не устанавливает требований к наличию допуска к государственной тайне для доступа к коммерческой тайне. Требование ограничить доступ только работникам с допуском к государственной тайне является дополнительным внутренним правилом работодателя, но не противоречит прямым положениям закона.</w:t>
      </w:r>
    </w:p>
    <w:p>
      <w:r>
        <w:rPr>
          <w:b/>
        </w:rPr>
        <w:t xml:space="preserve">Основание: </w:t>
      </w:r>
      <w:r>
        <w:t>H11300016_1357765200, ст.16</w:t>
      </w:r>
    </w:p>
    <w:p>
      <w:r>
        <w:rPr>
          <w:b/>
        </w:rPr>
        <w:t xml:space="preserve">Решение: </w:t>
      </w:r>
      <w:r>
        <w:t>Сохранить требование доступа в соответствии с должностными обязанностями, как указано в законе, и при необходимости дополнительно уточнить, что наличие допуска к государственной тайне может быть дополнительным условием, но не обязательным.</w:t>
      </w:r>
    </w:p>
    <w:p>
      <w:r>
        <w:rPr>
          <w:b/>
          <w:color w:val="C80000"/>
        </w:rPr>
        <w:t xml:space="preserve">Статус: </w:t>
      </w:r>
      <w:r>
        <w:rPr>
          <w:i/>
        </w:rPr>
        <w:t>Критическая ошибка. Требуется исправление.</w:t>
      </w:r>
    </w:p>
    <w:p/>
    <w:p>
      <w:pPr>
        <w:pStyle w:val="Heading1"/>
      </w:pPr>
      <w:r>
        <w:rPr>
          <w:color w:val="DAA520"/>
        </w:rPr>
        <w:t>2. СРЕДНИЕ РИСКИ (ЖЕЛТАЯ ЗОНА)</w:t>
      </w:r>
    </w:p>
    <w:p>
      <w:pPr>
        <w:pStyle w:val="Heading2"/>
      </w:pPr>
      <w:r>
        <w:t>Пункт — (modified)</w:t>
      </w:r>
    </w:p>
    <w:tbl>
      <w:tblPr>
        <w:tblStyle w:val="TableGrid"/>
        <w:tblW w:type="auto" w:w="0"/>
        <w:tblLook w:firstColumn="1" w:firstRow="1" w:lastColumn="0" w:lastRow="0" w:noHBand="0" w:noVBand="1" w:val="04A0"/>
      </w:tblPr>
      <w:tblGrid>
        <w:gridCol w:w="4320"/>
        <w:gridCol w:w="4320"/>
      </w:tblGrid>
      <w:tr>
        <w:tc>
          <w:tcPr>
            <w:tcW w:type="dxa" w:w="4320"/>
          </w:tcPr>
          <w:p>
            <w:r>
              <w:t>БЫЛО:</w:t>
              <w:br/>
              <w:t>от 15.01.2025 № 5</w:t>
            </w:r>
          </w:p>
        </w:tc>
        <w:tc>
          <w:tcPr>
            <w:tcW w:type="dxa" w:w="4320"/>
          </w:tcPr>
          <w:p>
            <w:r>
              <w:t>СТАЛО:</w:t>
              <w:br/>
              <w:t>от 20.03.2026 № 12</w:t>
            </w:r>
          </w:p>
        </w:tc>
      </w:tr>
    </w:tbl>
    <w:p>
      <w:r>
        <w:rPr>
          <w:b/>
        </w:rPr>
        <w:br/>
        <w:t xml:space="preserve">Анализ LLM: </w:t>
      </w:r>
      <w:r>
        <w:t>Изменение даты и номера документа не затрагивает условия правовой охраны секрета производства, указанные в ст. 1010, которые касаются содержания, конфиденциальности и экономической ценности ноу-хау, а не формальных реквизитов ссылки.</w:t>
      </w:r>
    </w:p>
    <w:p>
      <w:r>
        <w:rPr>
          <w:b/>
        </w:rPr>
        <w:t xml:space="preserve">Основание: </w:t>
      </w:r>
      <w:r>
        <w:t>H11300016_1357765200, ст.1010</w:t>
      </w:r>
    </w:p>
    <w:p>
      <w:r>
        <w:rPr>
          <w:b/>
        </w:rPr>
        <w:t xml:space="preserve">Решение: </w:t>
      </w:r>
      <w:r>
        <w:t>Сохранить текущий формат указания даты и номера, убедившись, что указанные документы действительно существуют и относятся к защищаемому ноу-хау.</w:t>
      </w:r>
    </w:p>
    <w:p>
      <w:r>
        <w:rPr>
          <w:b/>
          <w:color w:val="DAA520"/>
        </w:rPr>
        <w:t xml:space="preserve">Статус: </w:t>
      </w:r>
      <w:r>
        <w:rPr>
          <w:i/>
        </w:rPr>
        <w:t>Внимание. Потенциальный риск, требуется проверка юристом.</w:t>
      </w:r>
    </w:p>
    <w:p/>
    <w:p>
      <w:pPr>
        <w:pStyle w:val="Heading2"/>
      </w:pPr>
      <w:r>
        <w:t>Пункт 2.1 (modified)</w:t>
      </w:r>
    </w:p>
    <w:tbl>
      <w:tblPr>
        <w:tblStyle w:val="TableGrid"/>
        <w:tblW w:type="auto" w:w="0"/>
        <w:tblLook w:firstColumn="1" w:firstRow="1" w:lastColumn="0" w:lastRow="0" w:noHBand="0" w:noVBand="1" w:val="04A0"/>
      </w:tblPr>
      <w:tblGrid>
        <w:gridCol w:w="4320"/>
        <w:gridCol w:w="4320"/>
      </w:tblGrid>
      <w:tr>
        <w:tc>
          <w:tcPr>
            <w:tcW w:type="dxa" w:w="4320"/>
          </w:tcPr>
          <w:p>
            <w:r>
              <w:t>БЫЛО:</w:t>
              <w:br/>
              <w:t>К коммерческой тайне Общества относятся: - сведения о финансовом состоянии; - сведения о клиентах и поставщиках; - сведения о разрабатываемых технологиях.</w:t>
            </w:r>
          </w:p>
        </w:tc>
        <w:tc>
          <w:tcPr>
            <w:tcW w:type="dxa" w:w="4320"/>
          </w:tcPr>
          <w:p>
            <w:r>
              <w:t>СТАЛО:</w:t>
              <w:br/>
              <w:t>К коммерческой тайне Общества относятся: - сведения о финансовом состоянии; - сведения о клиентах и поставщиках; - сведения о задолженности по выплате заработной платы - сведения о нарушениях трудовой дисциплины</w:t>
            </w:r>
          </w:p>
        </w:tc>
      </w:tr>
    </w:tbl>
    <w:p>
      <w:r>
        <w:rPr>
          <w:b/>
        </w:rPr>
        <w:br/>
        <w:t xml:space="preserve">Анализ LLM: </w:t>
      </w:r>
      <w:r>
        <w:t>Статья 11 (часть 2) закона о коммерческой тайне определяет коммерческую тайну как сведения, имеющие коммерческую ценность, не являющиеся общедоступными и находящиеся в распоряжении организации. Информация о задолженности по выплате заработной платы и о нарушениях трудовой дисциплины относится к персональным данным работников, а не к сведениям, имеющим коммерческую ценность для общества. Поэтому включение таких сведений в перечень коммерческой тайны противоречит смыслу закона.</w:t>
      </w:r>
    </w:p>
    <w:p>
      <w:r>
        <w:rPr>
          <w:b/>
        </w:rPr>
        <w:t xml:space="preserve">Основание: </w:t>
      </w:r>
      <w:r>
        <w:t>H11300016_1357765200, ст.11 (часть 2)</w:t>
      </w:r>
    </w:p>
    <w:p>
      <w:r>
        <w:rPr>
          <w:b/>
        </w:rPr>
        <w:t xml:space="preserve">Решение: </w:t>
      </w:r>
      <w:r>
        <w:t>Исключить из перечня коммерческой тайны сведения о задолженности по выплате заработной платы и о нарушениях трудовой дисциплины; оставить только сведения, непосредственно связанные с финансовым состоянием, клиентами, поставщиками и разрабатываемыми технологиями.</w:t>
      </w:r>
    </w:p>
    <w:p>
      <w:r>
        <w:rPr>
          <w:b/>
          <w:color w:val="DAA520"/>
        </w:rPr>
        <w:t xml:space="preserve">Статус: </w:t>
      </w:r>
      <w:r>
        <w:rPr>
          <w:i/>
        </w:rPr>
        <w:t>Внимание. Потенциальный риск, требуется проверка юристом.</w:t>
      </w:r>
    </w:p>
    <w:p/>
    <w:p>
      <w:pPr>
        <w:pStyle w:val="Heading2"/>
      </w:pPr>
      <w:r>
        <w:t>Пункт 5 (modified)</w:t>
      </w:r>
    </w:p>
    <w:tbl>
      <w:tblPr>
        <w:tblStyle w:val="TableGrid"/>
        <w:tblW w:type="auto" w:w="0"/>
        <w:tblLook w:firstColumn="1" w:firstRow="1" w:lastColumn="0" w:lastRow="0" w:noHBand="0" w:noVBand="1" w:val="04A0"/>
      </w:tblPr>
      <w:tblGrid>
        <w:gridCol w:w="4320"/>
        <w:gridCol w:w="4320"/>
      </w:tblGrid>
      <w:tr>
        <w:tc>
          <w:tcPr>
            <w:tcW w:type="dxa" w:w="4320"/>
          </w:tcPr>
          <w:p>
            <w:r>
              <w:t>БЫЛО:</w:t>
              <w:br/>
            </w:r>
          </w:p>
        </w:tc>
        <w:tc>
          <w:tcPr>
            <w:tcW w:type="dxa" w:w="4320"/>
          </w:tcPr>
          <w:p>
            <w:r>
              <w:t>СТАЛО:</w:t>
              <w:br/>
              <w:t>Ответственность за нарушение</w:t>
            </w:r>
          </w:p>
        </w:tc>
      </w:tr>
    </w:tbl>
    <w:p>
      <w:r>
        <w:rPr>
          <w:b/>
        </w:rPr>
        <w:br/>
        <w:t xml:space="preserve">Анализ LLM: </w:t>
      </w:r>
      <w:r>
        <w:t>Статья 1011 требует конкретного указания видов и мер ответственности за незаконное использование секрета производства (ноу-хау). Добавленный фрагмент «Ответственность за нарушение» представляет собой лишь заголовок без указания конкретных мер ответственности, что не соответствует требованиям закона.</w:t>
      </w:r>
    </w:p>
    <w:p>
      <w:r>
        <w:rPr>
          <w:b/>
        </w:rPr>
        <w:t xml:space="preserve">Основание: </w:t>
      </w:r>
      <w:r>
        <w:t>H11300016_1357765200, ст.1011</w:t>
      </w:r>
    </w:p>
    <w:p>
      <w:r>
        <w:rPr>
          <w:b/>
        </w:rPr>
        <w:t xml:space="preserve">Решение: </w:t>
      </w:r>
      <w:r>
        <w:t>Разработать и включить в документ подробный раздел, описывающий конкретные виды ответственности (административные штрафы, гражданско-правовые исковые требования, уголовные наказания) и размеры штрафов, предусмотренные законом, а также порядок их применения.</w:t>
      </w:r>
    </w:p>
    <w:p>
      <w:r>
        <w:rPr>
          <w:b/>
          <w:color w:val="DAA520"/>
        </w:rPr>
        <w:t xml:space="preserve">Статус: </w:t>
      </w:r>
      <w:r>
        <w:rPr>
          <w:i/>
        </w:rPr>
        <w:t>Внимание. Потенциальный риск, требуется проверка юристом.</w:t>
      </w:r>
    </w:p>
    <w:p/>
    <w:p>
      <w:pPr>
        <w:pStyle w:val="Heading2"/>
      </w:pPr>
      <w:r>
        <w:t>Пункт 6 (modified)</w:t>
      </w:r>
    </w:p>
    <w:tbl>
      <w:tblPr>
        <w:tblStyle w:val="TableGrid"/>
        <w:tblW w:type="auto" w:w="0"/>
        <w:tblLook w:firstColumn="1" w:firstRow="1" w:lastColumn="0" w:lastRow="0" w:noHBand="0" w:noVBand="1" w:val="04A0"/>
      </w:tblPr>
      <w:tblGrid>
        <w:gridCol w:w="4320"/>
        <w:gridCol w:w="4320"/>
      </w:tblGrid>
      <w:tr>
        <w:tc>
          <w:tcPr>
            <w:tcW w:type="dxa" w:w="4320"/>
          </w:tcPr>
          <w:p>
            <w:r>
              <w:t>БЫЛО:</w:t>
              <w:br/>
            </w:r>
          </w:p>
        </w:tc>
        <w:tc>
          <w:tcPr>
            <w:tcW w:type="dxa" w:w="4320"/>
          </w:tcPr>
          <w:p>
            <w:r>
              <w:t>СТАЛО:</w:t>
              <w:br/>
              <w:t>Внесение изменений</w:t>
            </w:r>
          </w:p>
        </w:tc>
      </w:tr>
    </w:tbl>
    <w:p>
      <w:r>
        <w:rPr>
          <w:b/>
        </w:rPr>
        <w:br/>
        <w:t xml:space="preserve">Анализ LLM: </w:t>
      </w:r>
      <w:r>
        <w:t>Добавленный текст содержит лишь фразу «Внесение изменений», тогда как статья 21 требует указания как изменений, так и дополнений, а также их отношения к кодексам. Отсутствие слов «и дополнений в кодексы» делает текст несоответствующим требованию закона.</w:t>
      </w:r>
    </w:p>
    <w:p>
      <w:r>
        <w:rPr>
          <w:b/>
        </w:rPr>
        <w:t xml:space="preserve">Основание: </w:t>
      </w:r>
      <w:r>
        <w:t>C:\Users\Lenovo\Downloads\H11300016_1357765200, ст.21</w:t>
      </w:r>
    </w:p>
    <w:p>
      <w:r>
        <w:rPr>
          <w:b/>
        </w:rPr>
        <w:t xml:space="preserve">Решение: </w:t>
      </w:r>
      <w:r>
        <w:t>Дополнить текст до полного соответствия статье: «Внесение изменений и дополнений в кодексы».</w:t>
      </w:r>
    </w:p>
    <w:p>
      <w:r>
        <w:rPr>
          <w:b/>
          <w:color w:val="DAA520"/>
        </w:rPr>
        <w:t xml:space="preserve">Статус: </w:t>
      </w:r>
      <w:r>
        <w:rPr>
          <w:i/>
        </w:rPr>
        <w:t>Внимание. Потенциальный риск, требуется проверка юристом.</w:t>
      </w:r>
    </w:p>
    <w:p/>
    <w:p>
      <w:pPr>
        <w:pStyle w:val="Heading1"/>
      </w:pPr>
      <w:r>
        <w:rPr>
          <w:color w:val="228B22"/>
        </w:rPr>
        <w:t>3. НИЗКИЙ РИСК / ТЕХНИЧЕСКИЕ ПРАВКИ</w:t>
      </w:r>
    </w:p>
    <w:p>
      <w:pPr>
        <w:pStyle w:val="Heading2"/>
      </w:pPr>
      <w:r>
        <w:t>Пункт 3.2 → 5.1 (modified)</w:t>
      </w:r>
    </w:p>
    <w:tbl>
      <w:tblPr>
        <w:tblStyle w:val="TableGrid"/>
        <w:tblW w:type="auto" w:w="0"/>
        <w:tblLook w:firstColumn="1" w:firstRow="1" w:lastColumn="0" w:lastRow="0" w:noHBand="0" w:noVBand="1" w:val="04A0"/>
      </w:tblPr>
      <w:tblGrid>
        <w:gridCol w:w="4320"/>
        <w:gridCol w:w="4320"/>
      </w:tblGrid>
      <w:tr>
        <w:tc>
          <w:tcPr>
            <w:tcW w:type="dxa" w:w="4320"/>
          </w:tcPr>
          <w:p>
            <w:r>
              <w:t>БЫЛО:</w:t>
              <w:br/>
              <w:t>За разглашение коммерческой тайны работники могут быть привлечены к дисциплинарной ответственности.</w:t>
            </w:r>
          </w:p>
        </w:tc>
        <w:tc>
          <w:tcPr>
            <w:tcW w:type="dxa" w:w="4320"/>
          </w:tcPr>
          <w:p>
            <w:r>
              <w:t>СТАЛО:</w:t>
              <w:br/>
              <w:t>За разглашение коммерческой тайны работник обязан возместить упущенную выгоду Общества.</w:t>
            </w:r>
          </w:p>
        </w:tc>
      </w:tr>
    </w:tbl>
    <w:p>
      <w:r>
        <w:rPr>
          <w:b/>
        </w:rPr>
        <w:br/>
        <w:t xml:space="preserve">Анализ LLM: </w:t>
      </w:r>
      <w:r>
        <w:t>Статья 18 лишь указывает, что за разглашение коммерческой тайны лица несут ответственность в порядке, установленном законодательными актами, не уточняя конкретный вид ответственности. Требование возмещения упущенной выгоды работником не противоречит статье, так как это может быть предусмотрено другими нормативными актами. Поэтому изменение не создает прямого или косвенного противоречия.</w:t>
      </w:r>
    </w:p>
    <w:p>
      <w:r>
        <w:rPr>
          <w:b/>
        </w:rPr>
        <w:t xml:space="preserve">Основание: </w:t>
      </w:r>
      <w:r>
        <w:t>H11300016_1357765200, ст.18</w:t>
      </w:r>
    </w:p>
    <w:p>
      <w:r>
        <w:rPr>
          <w:b/>
        </w:rPr>
        <w:t xml:space="preserve">Решение: </w:t>
      </w:r>
      <w:r>
        <w:t>Убедиться, что в соответствующих нормативных актах (трудовом, гражданском кодексе) предусмотрена возможность возмещения упущенной выгоды за разглашение коммерческой тайны, и при необходимости добавить ссылку на такой акт в тексте.</w:t>
      </w:r>
    </w:p>
    <w:p>
      <w:r>
        <w:rPr>
          <w:b/>
          <w:color w:val="228B22"/>
        </w:rPr>
        <w:t xml:space="preserve">Статус: </w:t>
      </w:r>
      <w:r>
        <w:rPr>
          <w:i/>
        </w:rPr>
        <w:t>Допустимо. Соответствует законодательству.</w:t>
      </w:r>
    </w:p>
    <w:p/>
    <w:p>
      <w:pPr>
        <w:pStyle w:val="Heading2"/>
      </w:pPr>
      <w:r>
        <w:t>Пункт 4.2 (deleted)</w:t>
      </w:r>
    </w:p>
    <w:tbl>
      <w:tblPr>
        <w:tblStyle w:val="TableGrid"/>
        <w:tblW w:type="auto" w:w="0"/>
        <w:tblLook w:firstColumn="1" w:firstRow="1" w:lastColumn="0" w:lastRow="0" w:noHBand="0" w:noVBand="1" w:val="04A0"/>
      </w:tblPr>
      <w:tblGrid>
        <w:gridCol w:w="4320"/>
        <w:gridCol w:w="4320"/>
      </w:tblGrid>
      <w:tr>
        <w:tc>
          <w:tcPr>
            <w:tcW w:type="dxa" w:w="4320"/>
          </w:tcPr>
          <w:p>
            <w:r>
              <w:t>БЫЛО:</w:t>
              <w:br/>
              <w:t>Допуск работников осуществляется на основании приказа директора.</w:t>
            </w:r>
          </w:p>
        </w:tc>
        <w:tc>
          <w:tcPr>
            <w:tcW w:type="dxa" w:w="4320"/>
          </w:tcPr>
          <w:p>
            <w:r>
              <w:t>СТАЛО:</w:t>
              <w:br/>
            </w:r>
          </w:p>
        </w:tc>
      </w:tr>
    </w:tbl>
    <w:p>
      <w:r>
        <w:rPr>
          <w:b/>
        </w:rPr>
        <w:br/>
        <w:t xml:space="preserve">Анализ LLM: </w:t>
      </w:r>
      <w:r>
        <w:t>Плановое изменение</w:t>
      </w:r>
    </w:p>
    <w:p>
      <w:r>
        <w:rPr>
          <w:b/>
        </w:rPr>
        <w:t xml:space="preserve">Основание: </w:t>
      </w:r>
      <w:r>
        <w:t>Не требуется</w:t>
      </w:r>
    </w:p>
    <w:p>
      <w:r>
        <w:rPr>
          <w:b/>
          <w:color w:val="228B22"/>
        </w:rPr>
        <w:t xml:space="preserve">Статус: </w:t>
      </w:r>
      <w:r>
        <w:rPr>
          <w:i/>
        </w:rPr>
        <w:t>Допустимо. Соответствует законодательству.</w:t>
      </w:r>
    </w:p>
    <w:p/>
    <w:p>
      <w:pPr>
        <w:pStyle w:val="Heading2"/>
      </w:pPr>
      <w:r>
        <w:t>Пункт 5 (deleted)</w:t>
      </w:r>
    </w:p>
    <w:tbl>
      <w:tblPr>
        <w:tblStyle w:val="TableGrid"/>
        <w:tblW w:type="auto" w:w="0"/>
        <w:tblLook w:firstColumn="1" w:firstRow="1" w:lastColumn="0" w:lastRow="0" w:noHBand="0" w:noVBand="1" w:val="04A0"/>
      </w:tblPr>
      <w:tblGrid>
        <w:gridCol w:w="4320"/>
        <w:gridCol w:w="4320"/>
      </w:tblGrid>
      <w:tr>
        <w:tc>
          <w:tcPr>
            <w:tcW w:type="dxa" w:w="4320"/>
          </w:tcPr>
          <w:p>
            <w:r>
              <w:t>БЫЛО:</w:t>
              <w:br/>
              <w:t>Заключительные положения</w:t>
            </w:r>
          </w:p>
        </w:tc>
        <w:tc>
          <w:tcPr>
            <w:tcW w:type="dxa" w:w="4320"/>
          </w:tcPr>
          <w:p>
            <w:r>
              <w:t>СТАЛО:</w:t>
              <w:br/>
            </w:r>
          </w:p>
        </w:tc>
      </w:tr>
    </w:tbl>
    <w:p>
      <w:r>
        <w:rPr>
          <w:b/>
        </w:rPr>
        <w:br/>
        <w:t xml:space="preserve">Анализ LLM: </w:t>
      </w:r>
      <w:r>
        <w:t>Плановое изменение</w:t>
      </w:r>
    </w:p>
    <w:p>
      <w:r>
        <w:rPr>
          <w:b/>
        </w:rPr>
        <w:t xml:space="preserve">Основание: </w:t>
      </w:r>
      <w:r>
        <w:t>Не требуется</w:t>
      </w:r>
    </w:p>
    <w:p>
      <w:r>
        <w:rPr>
          <w:b/>
          <w:color w:val="228B22"/>
        </w:rPr>
        <w:t xml:space="preserve">Статус: </w:t>
      </w:r>
      <w:r>
        <w:rPr>
          <w:i/>
        </w:rPr>
        <w:t>Допустимо. Соответствует законодательству.</w:t>
      </w:r>
    </w:p>
    <w:p/>
    <w:p>
      <w:pPr>
        <w:pStyle w:val="Heading2"/>
      </w:pPr>
      <w:r>
        <w:t>Пункт 5.1 → 6.1 (moved)</w:t>
      </w:r>
    </w:p>
    <w:tbl>
      <w:tblPr>
        <w:tblStyle w:val="TableGrid"/>
        <w:tblW w:type="auto" w:w="0"/>
        <w:tblLook w:firstColumn="1" w:firstRow="1" w:lastColumn="0" w:lastRow="0" w:noHBand="0" w:noVBand="1" w:val="04A0"/>
      </w:tblPr>
      <w:tblGrid>
        <w:gridCol w:w="4320"/>
        <w:gridCol w:w="4320"/>
      </w:tblGrid>
      <w:tr>
        <w:tc>
          <w:tcPr>
            <w:tcW w:type="dxa" w:w="4320"/>
          </w:tcPr>
          <w:p>
            <w:r>
              <w:t>БЫЛО:</w:t>
              <w:br/>
            </w:r>
          </w:p>
        </w:tc>
        <w:tc>
          <w:tcPr>
            <w:tcW w:type="dxa" w:w="4320"/>
          </w:tcPr>
          <w:p>
            <w:r>
              <w:t>СТАЛО:</w:t>
              <w:br/>
            </w:r>
          </w:p>
        </w:tc>
      </w:tr>
    </w:tbl>
    <w:p>
      <w:r>
        <w:rPr>
          <w:b/>
        </w:rPr>
        <w:br/>
        <w:t xml:space="preserve">Анализ LLM: </w:t>
      </w:r>
      <w:r>
        <w:t>Плановое изменение</w:t>
      </w:r>
    </w:p>
    <w:p>
      <w:r>
        <w:rPr>
          <w:b/>
        </w:rPr>
        <w:t xml:space="preserve">Основание: </w:t>
      </w:r>
      <w:r>
        <w:t>Не требуется</w:t>
      </w:r>
    </w:p>
    <w:p>
      <w:r>
        <w:rPr>
          <w:b/>
          <w:color w:val="228B22"/>
        </w:rPr>
        <w:t xml:space="preserve">Статус: </w:t>
      </w:r>
      <w:r>
        <w:rPr>
          <w:i/>
        </w:rPr>
        <w:t>Допустимо. Соответствует законодательству.</w:t>
      </w:r>
    </w:p>
    <w:p/>
    <w:p>
      <w:pPr>
        <w:pStyle w:val="Heading2"/>
      </w:pPr>
      <w:r>
        <w:t>Пункт 5.2 → 6.2 (moved)</w:t>
      </w:r>
    </w:p>
    <w:tbl>
      <w:tblPr>
        <w:tblStyle w:val="TableGrid"/>
        <w:tblW w:type="auto" w:w="0"/>
        <w:tblLook w:firstColumn="1" w:firstRow="1" w:lastColumn="0" w:lastRow="0" w:noHBand="0" w:noVBand="1" w:val="04A0"/>
      </w:tblPr>
      <w:tblGrid>
        <w:gridCol w:w="4320"/>
        <w:gridCol w:w="4320"/>
      </w:tblGrid>
      <w:tr>
        <w:tc>
          <w:tcPr>
            <w:tcW w:type="dxa" w:w="4320"/>
          </w:tcPr>
          <w:p>
            <w:r>
              <w:t>БЫЛО:</w:t>
              <w:br/>
            </w:r>
          </w:p>
        </w:tc>
        <w:tc>
          <w:tcPr>
            <w:tcW w:type="dxa" w:w="4320"/>
          </w:tcPr>
          <w:p>
            <w:r>
              <w:t>СТАЛО:</w:t>
              <w:br/>
            </w:r>
          </w:p>
        </w:tc>
      </w:tr>
    </w:tbl>
    <w:p>
      <w:r>
        <w:rPr>
          <w:b/>
        </w:rPr>
        <w:br/>
        <w:t xml:space="preserve">Анализ LLM: </w:t>
      </w:r>
      <w:r>
        <w:t>Плановое изменение</w:t>
      </w:r>
    </w:p>
    <w:p>
      <w:r>
        <w:rPr>
          <w:b/>
        </w:rPr>
        <w:t xml:space="preserve">Основание: </w:t>
      </w:r>
      <w:r>
        <w:t>Не требуется</w:t>
      </w:r>
    </w:p>
    <w:p>
      <w:r>
        <w:rPr>
          <w:b/>
          <w:color w:val="228B22"/>
        </w:rPr>
        <w:t xml:space="preserve">Статус: </w:t>
      </w:r>
      <w:r>
        <w:rPr>
          <w:i/>
        </w:rPr>
        <w:t>Допустимо. Соответствует законодательству.</w:t>
      </w:r>
    </w:p>
    <w:p/>
    <w:p>
      <w:pPr>
        <w:pStyle w:val="Heading2"/>
      </w:pPr>
      <w:r>
        <w:t>Пункт 3.2 (modified)</w:t>
      </w:r>
    </w:p>
    <w:tbl>
      <w:tblPr>
        <w:tblStyle w:val="TableGrid"/>
        <w:tblW w:type="auto" w:w="0"/>
        <w:tblLook w:firstColumn="1" w:firstRow="1" w:lastColumn="0" w:lastRow="0" w:noHBand="0" w:noVBand="1" w:val="04A0"/>
      </w:tblPr>
      <w:tblGrid>
        <w:gridCol w:w="4320"/>
        <w:gridCol w:w="4320"/>
      </w:tblGrid>
      <w:tr>
        <w:tc>
          <w:tcPr>
            <w:tcW w:type="dxa" w:w="4320"/>
          </w:tcPr>
          <w:p>
            <w:r>
              <w:t>БЫЛО:</w:t>
              <w:br/>
            </w:r>
          </w:p>
        </w:tc>
        <w:tc>
          <w:tcPr>
            <w:tcW w:type="dxa" w:w="4320"/>
          </w:tcPr>
          <w:p>
            <w:r>
              <w:t>СТАЛО:</w:t>
              <w:br/>
              <w:t>Работники обязаны подписать обязательство о неразглашении коммерческой тайны в течение 3 дней с даты ознакомления с Положением.</w:t>
            </w:r>
          </w:p>
        </w:tc>
      </w:tr>
    </w:tbl>
    <w:p>
      <w:r>
        <w:rPr>
          <w:b/>
        </w:rPr>
        <w:br/>
        <w:t xml:space="preserve">Анализ LLM: </w:t>
      </w:r>
      <w:r>
        <w:t>Статья 17 закона лишь устанавливает, что наниматель вправе определить работников, с которыми необходимо заключить обязательство о неразглашении, и описывает содержание обязательства, но не фиксирует обязательный срок подписания. Установление внутреннего срока в 3 дня не противоречит закону, так как это внутреннее регламентирующее требование работодателя.</w:t>
      </w:r>
    </w:p>
    <w:p>
      <w:r>
        <w:rPr>
          <w:b/>
        </w:rPr>
        <w:t xml:space="preserve">Основание: </w:t>
      </w:r>
      <w:r>
        <w:t>H11300016_1357765200, ст.17</w:t>
      </w:r>
    </w:p>
    <w:p>
      <w:r>
        <w:rPr>
          <w:b/>
        </w:rPr>
        <w:t xml:space="preserve">Решение: </w:t>
      </w:r>
      <w:r>
        <w:t>Сохранить требование о подписании в течение 3 дней, так как оно не противоречит закону. При желании можно уточнить, что срок является внутренним регламентом работодателя и не ограничивает права работников.</w:t>
      </w:r>
    </w:p>
    <w:p>
      <w:r>
        <w:rPr>
          <w:b/>
          <w:color w:val="228B22"/>
        </w:rPr>
        <w:t xml:space="preserve">Статус: </w:t>
      </w:r>
      <w:r>
        <w:rPr>
          <w:i/>
        </w:rPr>
        <w:t>Допустимо. Соответствует законодательству.</w:t>
      </w:r>
    </w:p>
    <w:p/>
    <w:p>
      <w:pPr>
        <w:pStyle w:val="Heading2"/>
      </w:pPr>
      <w:r>
        <w:t>Пункт 4.2 (modified)</w:t>
      </w:r>
    </w:p>
    <w:tbl>
      <w:tblPr>
        <w:tblStyle w:val="TableGrid"/>
        <w:tblW w:type="auto" w:w="0"/>
        <w:tblLook w:firstColumn="1" w:firstRow="1" w:lastColumn="0" w:lastRow="0" w:noHBand="0" w:noVBand="1" w:val="04A0"/>
      </w:tblPr>
      <w:tblGrid>
        <w:gridCol w:w="4320"/>
        <w:gridCol w:w="4320"/>
      </w:tblGrid>
      <w:tr>
        <w:tc>
          <w:tcPr>
            <w:tcW w:type="dxa" w:w="4320"/>
          </w:tcPr>
          <w:p>
            <w:r>
              <w:t>БЫЛО:</w:t>
              <w:br/>
            </w:r>
          </w:p>
        </w:tc>
        <w:tc>
          <w:tcPr>
            <w:tcW w:type="dxa" w:w="4320"/>
          </w:tcPr>
          <w:p>
            <w:r>
              <w:t>СТАЛО:</w:t>
              <w:br/>
              <w:t>Решение о допуске принимает служба безопасности единолично.</w:t>
            </w:r>
          </w:p>
        </w:tc>
      </w:tr>
    </w:tbl>
    <w:p>
      <w:r>
        <w:rPr>
          <w:b/>
        </w:rPr>
        <w:br/>
        <w:t xml:space="preserve">Анализ LLM: </w:t>
      </w:r>
      <w:r>
        <w:t>Добавленное положение о том, что решение о допуске принимает служба безопасности единолично, не относится к регулированию ответственности за препятствование доступу к сведениям, составляющим коммерческую тайну, как указано в статье 11 части 2. Поэтому прямого или косвенного противоречия с указанным законом нет.</w:t>
      </w:r>
    </w:p>
    <w:p>
      <w:r>
        <w:rPr>
          <w:b/>
        </w:rPr>
        <w:t xml:space="preserve">Основание: </w:t>
      </w:r>
      <w:r>
        <w:t>H11300016_1357765200, ст.11 (часть 2)</w:t>
      </w:r>
    </w:p>
    <w:p>
      <w:r>
        <w:rPr>
          <w:b/>
        </w:rPr>
        <w:t xml:space="preserve">Решение: </w:t>
      </w:r>
      <w:r>
        <w:t>Изменение не требует корректировки с точки зрения данной статьи закона.</w:t>
      </w:r>
    </w:p>
    <w:p>
      <w:r>
        <w:rPr>
          <w:b/>
          <w:color w:val="228B22"/>
        </w:rPr>
        <w:t xml:space="preserve">Статус: </w:t>
      </w:r>
      <w:r>
        <w:rPr>
          <w:i/>
        </w:rPr>
        <w:t>Допустимо. Соответствует законодательству.</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