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Юридическое заключение по результатам сравнения</w:t>
      </w:r>
    </w:p>
    <w:p>
      <w:r>
        <w:t>Дата отчета: 2026-03-20 16:09:53</w:t>
      </w:r>
    </w:p>
    <w:p>
      <w:r>
        <w:t>Документ: new_test_gDL8p8H.docx</w:t>
      </w:r>
    </w:p>
    <w:p>
      <w:r>
        <w:t>------------------------------</w:t>
      </w:r>
    </w:p>
    <w:p>
      <w:pPr>
        <w:pStyle w:val="Heading1"/>
      </w:pPr>
      <w:r>
        <w:rPr>
          <w:color w:val="C80000"/>
        </w:rPr>
        <w:t>1. КРИТИЧЕСКИЕ РИСКИ (КРАСНАЯ ЗОНА)</w:t>
      </w:r>
    </w:p>
    <w:p>
      <w:pPr>
        <w:pStyle w:val="Heading2"/>
      </w:pPr>
      <w:r>
        <w:t>Пункт 5 (modified)</w:t>
      </w:r>
    </w:p>
    <w:tbl>
      <w:tblPr>
        <w:tblStyle w:val="TableGrid"/>
        <w:tblW w:type="auto" w:w="0"/>
        <w:tblLook w:firstColumn="1" w:firstRow="1" w:lastColumn="0" w:lastRow="0" w:noHBand="0" w:noVBand="1" w:val="04A0"/>
      </w:tblPr>
      <w:tblGrid>
        <w:gridCol w:w="4320"/>
        <w:gridCol w:w="4320"/>
      </w:tblGrid>
      <w:tr>
        <w:tc>
          <w:tcPr>
            <w:tcW w:type="dxa" w:w="4320"/>
          </w:tcPr>
          <w:p>
            <w:r>
              <w:t>БЫЛО:</w:t>
              <w:br/>
            </w:r>
          </w:p>
        </w:tc>
        <w:tc>
          <w:tcPr>
            <w:tcW w:type="dxa" w:w="4320"/>
          </w:tcPr>
          <w:p>
            <w:r>
              <w:t>СТАЛО:</w:t>
              <w:br/>
              <w:t>Ответственность за нарушение</w:t>
            </w:r>
          </w:p>
        </w:tc>
      </w:tr>
    </w:tbl>
    <w:p>
      <w:r>
        <w:rPr>
          <w:b/>
        </w:rPr>
        <w:br/>
        <w:t xml:space="preserve">Анализ LLM: </w:t>
      </w:r>
      <w:r>
        <w:t>Статья 1011 предписывает конкретизировать виды и меры ответственности за незаконное использование секрета производства (ноу-хау). Добавленный фрагмент представляет лишь общий заголовок «Ответственность за нарушение» без указания, какое нарушение имеется в виду, и без описания предусмотренных законом санкций. Такое содержание не соответствует требуемому законодательством и, следовательно, противоречит статье.</w:t>
      </w:r>
    </w:p>
    <w:p>
      <w:r>
        <w:rPr>
          <w:b/>
        </w:rPr>
        <w:t xml:space="preserve">Основание: </w:t>
      </w:r>
      <w:r>
        <w:t>C:\Users\Lenovo\Downloads\H11300016_1357765200, ст.1011</w:t>
      </w:r>
    </w:p>
    <w:p>
      <w:r>
        <w:rPr>
          <w:b/>
        </w:rPr>
        <w:t xml:space="preserve">Решение: </w:t>
      </w:r>
      <w:r>
        <w:t>Заменить заголовок на более конкретный, например: «Ответственность за незаконное использование секрета производства (ноу-хау)», и добавить положения, описывающие гражданско‑правовую, административную и уголовную ответственность в соответствии с нормами статьи 1011.</w:t>
      </w:r>
    </w:p>
    <w:p>
      <w:r>
        <w:rPr>
          <w:b/>
          <w:color w:val="C80000"/>
        </w:rPr>
        <w:t xml:space="preserve">Статус: </w:t>
      </w:r>
      <w:r>
        <w:rPr>
          <w:i/>
        </w:rPr>
        <w:t>Критическая ошибка. Требуется исправление.</w:t>
      </w:r>
    </w:p>
    <w:p/>
    <w:p>
      <w:pPr>
        <w:pStyle w:val="Heading1"/>
      </w:pPr>
      <w:r>
        <w:rPr>
          <w:color w:val="DAA520"/>
        </w:rPr>
        <w:t>2. СРЕДНИЕ РИСКИ (ЖЕЛТАЯ ЗОНА)</w:t>
      </w:r>
    </w:p>
    <w:p>
      <w:pPr>
        <w:pStyle w:val="Heading2"/>
      </w:pPr>
      <w:r>
        <w:t>Пункт — (modified)</w:t>
      </w:r>
    </w:p>
    <w:tbl>
      <w:tblPr>
        <w:tblStyle w:val="TableGrid"/>
        <w:tblW w:type="auto" w:w="0"/>
        <w:tblLook w:firstColumn="1" w:firstRow="1" w:lastColumn="0" w:lastRow="0" w:noHBand="0" w:noVBand="1" w:val="04A0"/>
      </w:tblPr>
      <w:tblGrid>
        <w:gridCol w:w="4320"/>
        <w:gridCol w:w="4320"/>
      </w:tblGrid>
      <w:tr>
        <w:tc>
          <w:tcPr>
            <w:tcW w:type="dxa" w:w="4320"/>
          </w:tcPr>
          <w:p>
            <w:r>
              <w:t>БЫЛО:</w:t>
              <w:br/>
              <w:t>от 15.01.2025 № 5</w:t>
            </w:r>
          </w:p>
        </w:tc>
        <w:tc>
          <w:tcPr>
            <w:tcW w:type="dxa" w:w="4320"/>
          </w:tcPr>
          <w:p>
            <w:r>
              <w:t>СТАЛО:</w:t>
              <w:br/>
              <w:t>от 20.03.2026 № 12</w:t>
            </w:r>
          </w:p>
        </w:tc>
      </w:tr>
    </w:tbl>
    <w:p>
      <w:r>
        <w:rPr>
          <w:b/>
        </w:rPr>
        <w:br/>
        <w:t xml:space="preserve">Анализ LLM: </w:t>
      </w:r>
      <w:r>
        <w:t>Статья 21 требует последовательного присвоения номеров изменениям и дополнениям без пропусков. Переход от № 5 к № 12 нарушает это требование, так как пропущены номера 6‑11.</w:t>
      </w:r>
    </w:p>
    <w:p>
      <w:r>
        <w:rPr>
          <w:b/>
        </w:rPr>
        <w:t xml:space="preserve">Основание: </w:t>
      </w:r>
      <w:r>
        <w:t>H11300016_1357765200, ст.21</w:t>
      </w:r>
    </w:p>
    <w:p>
      <w:r>
        <w:rPr>
          <w:b/>
        </w:rPr>
        <w:t xml:space="preserve">Решение: </w:t>
      </w:r>
      <w:r>
        <w:t>Присвоить следующему изменению номер 6 (от 20.03.2026 № 6) либо оформить пропущенные номера как отдельные изменения, если они действительно существуют.</w:t>
      </w:r>
    </w:p>
    <w:p>
      <w:r>
        <w:rPr>
          <w:b/>
          <w:color w:val="DAA520"/>
        </w:rPr>
        <w:t xml:space="preserve">Статус: </w:t>
      </w:r>
      <w:r>
        <w:rPr>
          <w:i/>
        </w:rPr>
        <w:t>Внимание. Потенциальный риск, требуется проверка юристом.</w:t>
      </w:r>
    </w:p>
    <w:p/>
    <w:p>
      <w:pPr>
        <w:pStyle w:val="Heading2"/>
      </w:pPr>
      <w:r>
        <w:t>Пункт 2.1 (modified)</w:t>
      </w:r>
    </w:p>
    <w:tbl>
      <w:tblPr>
        <w:tblStyle w:val="TableGrid"/>
        <w:tblW w:type="auto" w:w="0"/>
        <w:tblLook w:firstColumn="1" w:firstRow="1" w:lastColumn="0" w:lastRow="0" w:noHBand="0" w:noVBand="1" w:val="04A0"/>
      </w:tblPr>
      <w:tblGrid>
        <w:gridCol w:w="4320"/>
        <w:gridCol w:w="4320"/>
      </w:tblGrid>
      <w:tr>
        <w:tc>
          <w:tcPr>
            <w:tcW w:type="dxa" w:w="4320"/>
          </w:tcPr>
          <w:p>
            <w:r>
              <w:t>БЫЛО:</w:t>
              <w:br/>
              <w:t>К коммерческой тайне Общества относятся: - сведения о финансовом состоянии; - сведения о клиентах и поставщиках; - сведения о разрабатываемых технологиях.</w:t>
            </w:r>
          </w:p>
        </w:tc>
        <w:tc>
          <w:tcPr>
            <w:tcW w:type="dxa" w:w="4320"/>
          </w:tcPr>
          <w:p>
            <w:r>
              <w:t>СТАЛО:</w:t>
              <w:br/>
              <w:t>К коммерческой тайне Общества относятся: - сведения о финансовом состоянии; - сведения о клиентах и поставщиках; - сведения о задолженности по выплате заработной платы - сведения о нарушениях трудовой дисциплины</w:t>
            </w:r>
          </w:p>
        </w:tc>
      </w:tr>
    </w:tbl>
    <w:p>
      <w:r>
        <w:rPr>
          <w:b/>
        </w:rPr>
        <w:br/>
        <w:t xml:space="preserve">Анализ LLM: </w:t>
      </w:r>
      <w:r>
        <w:t>Статья 11 (часть 2) регулирует ответственность за препятствование доступу к сведениям, составляющим коммерческую тайну, но не определяет, какие сведения могут быть отнесены к коммерческой тайне. Поэтому добавление сведений о задолженности по выплате заработной платы и нарушениях трудовой дисциплины не противоречит требованиям данной статьи.</w:t>
      </w:r>
    </w:p>
    <w:p>
      <w:r>
        <w:rPr>
          <w:b/>
        </w:rPr>
        <w:t xml:space="preserve">Основание: </w:t>
      </w:r>
      <w:r>
        <w:t>H11300016_1357765200, ст.11 (часть 2)</w:t>
      </w:r>
    </w:p>
    <w:p>
      <w:r>
        <w:rPr>
          <w:b/>
        </w:rPr>
        <w:t xml:space="preserve">Решение: </w:t>
      </w:r>
      <w:r>
        <w:t>Для оценки правомерности включения указанных сведений в перечень коммерческой тайны следует обратиться к другим нормативным актам (трудовому кодексу, закону о персональных данных). В рамках данной статьи изменений не требуется.</w:t>
      </w:r>
    </w:p>
    <w:p>
      <w:r>
        <w:rPr>
          <w:b/>
          <w:color w:val="DAA520"/>
        </w:rPr>
        <w:t xml:space="preserve">Статус: </w:t>
      </w:r>
      <w:r>
        <w:rPr>
          <w:i/>
        </w:rPr>
        <w:t>Внимание. Потенциальный риск, требуется проверка юристом.</w:t>
      </w:r>
    </w:p>
    <w:p/>
    <w:p>
      <w:pPr>
        <w:pStyle w:val="Heading2"/>
      </w:pPr>
      <w:r>
        <w:t>Пункт 3.2 → 5.1 (modified)</w:t>
      </w:r>
    </w:p>
    <w:tbl>
      <w:tblPr>
        <w:tblStyle w:val="TableGrid"/>
        <w:tblW w:type="auto" w:w="0"/>
        <w:tblLook w:firstColumn="1" w:firstRow="1" w:lastColumn="0" w:lastRow="0" w:noHBand="0" w:noVBand="1" w:val="04A0"/>
      </w:tblPr>
      <w:tblGrid>
        <w:gridCol w:w="4320"/>
        <w:gridCol w:w="4320"/>
      </w:tblGrid>
      <w:tr>
        <w:tc>
          <w:tcPr>
            <w:tcW w:type="dxa" w:w="4320"/>
          </w:tcPr>
          <w:p>
            <w:r>
              <w:t>БЫЛО:</w:t>
              <w:br/>
              <w:t>За разглашение коммерческой тайны работники могут быть привлечены к дисциплинарной ответственности.</w:t>
            </w:r>
          </w:p>
        </w:tc>
        <w:tc>
          <w:tcPr>
            <w:tcW w:type="dxa" w:w="4320"/>
          </w:tcPr>
          <w:p>
            <w:r>
              <w:t>СТАЛО:</w:t>
              <w:br/>
              <w:t>За разглашение коммерческой тайны работник обязан возместить упущенную выгоду Общества.</w:t>
            </w:r>
          </w:p>
        </w:tc>
      </w:tr>
    </w:tbl>
    <w:p>
      <w:r>
        <w:rPr>
          <w:b/>
        </w:rPr>
        <w:br/>
        <w:t xml:space="preserve">Анализ LLM: </w:t>
      </w:r>
      <w:r>
        <w:t>Статья 11 (часть 2) лишь указывает, что за разглашение коммерческой тайны предусмотрена ответственность в соответствии с законодательными актами, не уточняя её форму. Требование возмещения упущенной выгоды не противоречит закону, так как гражданско‑правовая ответственность может быть одной из форм такой ответственности. При этом закон не запрещает вводить дополнительную обязанность возмещения, если это предусмотрено другими нормативными актами.</w:t>
      </w:r>
    </w:p>
    <w:p>
      <w:r>
        <w:rPr>
          <w:b/>
        </w:rPr>
        <w:t xml:space="preserve">Основание: </w:t>
      </w:r>
      <w:r>
        <w:t>C:\Users\Lenovo\Downloads\H11300016_1357765200, ст.11 (часть 2)</w:t>
      </w:r>
    </w:p>
    <w:p>
      <w:r>
        <w:rPr>
          <w:b/>
        </w:rPr>
        <w:t xml:space="preserve">Решение: </w:t>
      </w:r>
      <w:r>
        <w:t>Убедиться, что обязанность возмещения упущенной выгоды закреплена отдельным нормативным актом (например, Трудовым кодексом или Гражданским кодексом) и указать в тексте, что данная мера применяется в рамках действующего законодательства.</w:t>
      </w:r>
    </w:p>
    <w:p>
      <w:r>
        <w:rPr>
          <w:b/>
          <w:color w:val="DAA520"/>
        </w:rPr>
        <w:t xml:space="preserve">Статус: </w:t>
      </w:r>
      <w:r>
        <w:rPr>
          <w:i/>
        </w:rPr>
        <w:t>Внимание. Потенциальный риск, требуется проверка юристом.</w:t>
      </w:r>
    </w:p>
    <w:p/>
    <w:p>
      <w:pPr>
        <w:pStyle w:val="Heading2"/>
      </w:pPr>
      <w:r>
        <w:t>Пункт 4.1 (modified)</w:t>
      </w:r>
    </w:p>
    <w:tbl>
      <w:tblPr>
        <w:tblStyle w:val="TableGrid"/>
        <w:tblW w:type="auto" w:w="0"/>
        <w:tblLook w:firstColumn="1" w:firstRow="1" w:lastColumn="0" w:lastRow="0" w:noHBand="0" w:noVBand="1" w:val="04A0"/>
      </w:tblPr>
      <w:tblGrid>
        <w:gridCol w:w="4320"/>
        <w:gridCol w:w="4320"/>
      </w:tblGrid>
      <w:tr>
        <w:tc>
          <w:tcPr>
            <w:tcW w:type="dxa" w:w="4320"/>
          </w:tcPr>
          <w:p>
            <w:r>
              <w:t>БЫЛО:</w:t>
              <w:br/>
              <w:t>Доступ к сведениям, составляющим коммерческую тайну, предоставляется работникам в соответствии с их должностными обязанностями.</w:t>
            </w:r>
          </w:p>
        </w:tc>
        <w:tc>
          <w:tcPr>
            <w:tcW w:type="dxa" w:w="4320"/>
          </w:tcPr>
          <w:p>
            <w:r>
              <w:t>СТАЛО:</w:t>
              <w:br/>
              <w:t>Доступ к сведениям, составляющим коммерческую тайну, предоставляется только работникам, имеющим допуск к государственной тайне.</w:t>
            </w:r>
          </w:p>
        </w:tc>
      </w:tr>
    </w:tbl>
    <w:p>
      <w:r>
        <w:rPr>
          <w:b/>
        </w:rPr>
        <w:br/>
        <w:t xml:space="preserve">Анализ LLM: </w:t>
      </w:r>
      <w:r>
        <w:t>Статья 16 закона устанавливает обязанности работников по соблюдению конфиденциальности коммерческой тайны и требует предоставления доступа в соответствии с должностными обязанностями. Закон не ограничивает доступ только работниками, имеющими допуск к государственной тайне, поэтому новое формулирование, хотя и более ограничительное, не противоречит требованиям закона.</w:t>
      </w:r>
    </w:p>
    <w:p>
      <w:r>
        <w:rPr>
          <w:b/>
        </w:rPr>
        <w:t xml:space="preserve">Основание: </w:t>
      </w:r>
      <w:r>
        <w:t>H11300016_1357765200, ст.16</w:t>
      </w:r>
    </w:p>
    <w:p>
      <w:r>
        <w:rPr>
          <w:b/>
        </w:rPr>
        <w:t xml:space="preserve">Решение: </w:t>
      </w:r>
      <w:r>
        <w:t>Сохранить формулировку, позволяющую предоставлять доступ в соответствии с должностными обязанностями, при необходимости дополнительно указывая, что наличие допуска к государственной тайне может быть дополнительным условием, но не единственным.</w:t>
      </w:r>
    </w:p>
    <w:p>
      <w:r>
        <w:rPr>
          <w:b/>
          <w:color w:val="DAA520"/>
        </w:rPr>
        <w:t xml:space="preserve">Статус: </w:t>
      </w:r>
      <w:r>
        <w:rPr>
          <w:i/>
        </w:rPr>
        <w:t>Внимание. Потенциальный риск, требуется проверка юристом.</w:t>
      </w:r>
    </w:p>
    <w:p/>
    <w:p>
      <w:pPr>
        <w:pStyle w:val="Heading2"/>
      </w:pPr>
      <w:r>
        <w:t>Пункт 4.2 (modified)</w:t>
      </w:r>
    </w:p>
    <w:tbl>
      <w:tblPr>
        <w:tblStyle w:val="TableGrid"/>
        <w:tblW w:type="auto" w:w="0"/>
        <w:tblLook w:firstColumn="1" w:firstRow="1" w:lastColumn="0" w:lastRow="0" w:noHBand="0" w:noVBand="1" w:val="04A0"/>
      </w:tblPr>
      <w:tblGrid>
        <w:gridCol w:w="4320"/>
        <w:gridCol w:w="4320"/>
      </w:tblGrid>
      <w:tr>
        <w:tc>
          <w:tcPr>
            <w:tcW w:type="dxa" w:w="4320"/>
          </w:tcPr>
          <w:p>
            <w:r>
              <w:t>БЫЛО:</w:t>
              <w:br/>
            </w:r>
          </w:p>
        </w:tc>
        <w:tc>
          <w:tcPr>
            <w:tcW w:type="dxa" w:w="4320"/>
          </w:tcPr>
          <w:p>
            <w:r>
              <w:t>СТАЛО:</w:t>
              <w:br/>
              <w:t>Решение о допуске принимает служба безопасности единолично.</w:t>
            </w:r>
          </w:p>
        </w:tc>
      </w:tr>
    </w:tbl>
    <w:p>
      <w:r>
        <w:rPr>
          <w:b/>
        </w:rPr>
        <w:br/>
        <w:t xml:space="preserve">Анализ LLM: </w:t>
      </w:r>
      <w:r>
        <w:t>Статья 3 регулирует лишь условия и порядок отнесения информации к служебной тайне, а не порядок принятия решения о допуске. Добавленный текст о единоличном решении службы безопасности не противоречит указанному требованию закона.</w:t>
      </w:r>
    </w:p>
    <w:p>
      <w:r>
        <w:rPr>
          <w:b/>
        </w:rPr>
        <w:t xml:space="preserve">Основание: </w:t>
      </w:r>
      <w:r>
        <w:t>C:\Users\Lenovo\Downloads\H11300016_1357765200, ст.3</w:t>
      </w:r>
    </w:p>
    <w:p>
      <w:r>
        <w:rPr>
          <w:b/>
        </w:rPr>
        <w:t xml:space="preserve">Решение: </w:t>
      </w:r>
      <w:r>
        <w:t>Изменение не требует корректировки с точки зрения данной статьи.</w:t>
      </w:r>
    </w:p>
    <w:p>
      <w:r>
        <w:rPr>
          <w:b/>
          <w:color w:val="DAA520"/>
        </w:rPr>
        <w:t xml:space="preserve">Статус: </w:t>
      </w:r>
      <w:r>
        <w:rPr>
          <w:i/>
        </w:rPr>
        <w:t>Внимание. Потенциальный риск, требуется проверка юристом.</w:t>
      </w:r>
    </w:p>
    <w:p/>
    <w:p>
      <w:pPr>
        <w:pStyle w:val="Heading2"/>
      </w:pPr>
      <w:r>
        <w:t>Пункт 6 (modified)</w:t>
      </w:r>
    </w:p>
    <w:tbl>
      <w:tblPr>
        <w:tblStyle w:val="TableGrid"/>
        <w:tblW w:type="auto" w:w="0"/>
        <w:tblLook w:firstColumn="1" w:firstRow="1" w:lastColumn="0" w:lastRow="0" w:noHBand="0" w:noVBand="1" w:val="04A0"/>
      </w:tblPr>
      <w:tblGrid>
        <w:gridCol w:w="4320"/>
        <w:gridCol w:w="4320"/>
      </w:tblGrid>
      <w:tr>
        <w:tc>
          <w:tcPr>
            <w:tcW w:type="dxa" w:w="4320"/>
          </w:tcPr>
          <w:p>
            <w:r>
              <w:t>БЫЛО:</w:t>
              <w:br/>
            </w:r>
          </w:p>
        </w:tc>
        <w:tc>
          <w:tcPr>
            <w:tcW w:type="dxa" w:w="4320"/>
          </w:tcPr>
          <w:p>
            <w:r>
              <w:t>СТАЛО:</w:t>
              <w:br/>
              <w:t>Внесение изменений</w:t>
            </w:r>
          </w:p>
        </w:tc>
      </w:tr>
    </w:tbl>
    <w:p>
      <w:r>
        <w:rPr>
          <w:b/>
        </w:rPr>
        <w:br/>
        <w:t xml:space="preserve">Анализ LLM: </w:t>
      </w:r>
      <w:r>
        <w:t>Добавленный фрагмент «Внесение изменений» не относится к условиям правовой охраны секрета производства (ноу-хау) и не противоречит требованиям статьи 1010. Он просто нейтральный и не содержит информации, регулируемой законом.</w:t>
      </w:r>
    </w:p>
    <w:p>
      <w:r>
        <w:rPr>
          <w:b/>
        </w:rPr>
        <w:t xml:space="preserve">Основание: </w:t>
      </w:r>
      <w:r>
        <w:t>H11300016_1357765200, ст.1010</w:t>
      </w:r>
    </w:p>
    <w:p>
      <w:r>
        <w:rPr>
          <w:b/>
        </w:rPr>
        <w:t xml:space="preserve">Решение: </w:t>
      </w:r>
      <w:r>
        <w:t>Убрать или заменить данный фрагмент на содержание, соответствующее условиям охраны ноу-хау, либо добавить конкретные меры по сохранению тайны.</w:t>
      </w:r>
    </w:p>
    <w:p>
      <w:r>
        <w:rPr>
          <w:b/>
          <w:color w:val="DAA520"/>
        </w:rPr>
        <w:t xml:space="preserve">Статус: </w:t>
      </w:r>
      <w:r>
        <w:rPr>
          <w:i/>
        </w:rPr>
        <w:t>Внимание. Потенциальный риск, требуется проверка юристом.</w:t>
      </w:r>
    </w:p>
    <w:p/>
    <w:p>
      <w:pPr>
        <w:pStyle w:val="Heading1"/>
      </w:pPr>
      <w:r>
        <w:rPr>
          <w:color w:val="228B22"/>
        </w:rPr>
        <w:t>3. НИЗКИЙ РИСК / ТЕХНИЧЕСКИЕ ПРАВКИ</w:t>
      </w:r>
    </w:p>
    <w:p>
      <w:pPr>
        <w:pStyle w:val="Heading2"/>
      </w:pPr>
      <w:r>
        <w:t>Пункт 4.2 (deleted)</w:t>
      </w:r>
    </w:p>
    <w:tbl>
      <w:tblPr>
        <w:tblStyle w:val="TableGrid"/>
        <w:tblW w:type="auto" w:w="0"/>
        <w:tblLook w:firstColumn="1" w:firstRow="1" w:lastColumn="0" w:lastRow="0" w:noHBand="0" w:noVBand="1" w:val="04A0"/>
      </w:tblPr>
      <w:tblGrid>
        <w:gridCol w:w="4320"/>
        <w:gridCol w:w="4320"/>
      </w:tblGrid>
      <w:tr>
        <w:tc>
          <w:tcPr>
            <w:tcW w:type="dxa" w:w="4320"/>
          </w:tcPr>
          <w:p>
            <w:r>
              <w:t>БЫЛО:</w:t>
              <w:br/>
              <w:t>Допуск работников осуществляется на основании приказа директора.</w:t>
            </w:r>
          </w:p>
        </w:tc>
        <w:tc>
          <w:tcPr>
            <w:tcW w:type="dxa" w:w="4320"/>
          </w:tcPr>
          <w:p>
            <w:r>
              <w:t>СТАЛО:</w:t>
              <w:br/>
            </w:r>
          </w:p>
        </w:tc>
      </w:tr>
    </w:tbl>
    <w:p>
      <w:r>
        <w:rPr>
          <w:b/>
        </w:rPr>
        <w:br/>
        <w:t xml:space="preserve">Анализ LLM: </w:t>
      </w:r>
      <w:r>
        <w:t>Плановое изменение</w:t>
      </w:r>
    </w:p>
    <w:p>
      <w:r>
        <w:rPr>
          <w:b/>
        </w:rPr>
        <w:t xml:space="preserve">Основание: </w:t>
      </w:r>
      <w:r>
        <w:t>Не требуется</w:t>
      </w:r>
    </w:p>
    <w:p>
      <w:r>
        <w:rPr>
          <w:b/>
          <w:color w:val="228B22"/>
        </w:rPr>
        <w:t xml:space="preserve">Статус: </w:t>
      </w:r>
      <w:r>
        <w:rPr>
          <w:i/>
        </w:rPr>
        <w:t>Допустимо. Соответствует законодательству.</w:t>
      </w:r>
    </w:p>
    <w:p/>
    <w:p>
      <w:pPr>
        <w:pStyle w:val="Heading2"/>
      </w:pPr>
      <w:r>
        <w:t>Пункт 5 (deleted)</w:t>
      </w:r>
    </w:p>
    <w:tbl>
      <w:tblPr>
        <w:tblStyle w:val="TableGrid"/>
        <w:tblW w:type="auto" w:w="0"/>
        <w:tblLook w:firstColumn="1" w:firstRow="1" w:lastColumn="0" w:lastRow="0" w:noHBand="0" w:noVBand="1" w:val="04A0"/>
      </w:tblPr>
      <w:tblGrid>
        <w:gridCol w:w="4320"/>
        <w:gridCol w:w="4320"/>
      </w:tblGrid>
      <w:tr>
        <w:tc>
          <w:tcPr>
            <w:tcW w:type="dxa" w:w="4320"/>
          </w:tcPr>
          <w:p>
            <w:r>
              <w:t>БЫЛО:</w:t>
              <w:br/>
              <w:t>Заключительные положения</w:t>
            </w:r>
          </w:p>
        </w:tc>
        <w:tc>
          <w:tcPr>
            <w:tcW w:type="dxa" w:w="4320"/>
          </w:tcPr>
          <w:p>
            <w:r>
              <w:t>СТАЛО:</w:t>
              <w:br/>
            </w:r>
          </w:p>
        </w:tc>
      </w:tr>
    </w:tbl>
    <w:p>
      <w:r>
        <w:rPr>
          <w:b/>
        </w:rPr>
        <w:br/>
        <w:t xml:space="preserve">Анализ LLM: </w:t>
      </w:r>
      <w:r>
        <w:t>Плановое изменение</w:t>
      </w:r>
    </w:p>
    <w:p>
      <w:r>
        <w:rPr>
          <w:b/>
        </w:rPr>
        <w:t xml:space="preserve">Основание: </w:t>
      </w:r>
      <w:r>
        <w:t>Не требуется</w:t>
      </w:r>
    </w:p>
    <w:p>
      <w:r>
        <w:rPr>
          <w:b/>
          <w:color w:val="228B22"/>
        </w:rPr>
        <w:t xml:space="preserve">Статус: </w:t>
      </w:r>
      <w:r>
        <w:rPr>
          <w:i/>
        </w:rPr>
        <w:t>Допустимо. Соответствует законодательству.</w:t>
      </w:r>
    </w:p>
    <w:p/>
    <w:p>
      <w:pPr>
        <w:pStyle w:val="Heading2"/>
      </w:pPr>
      <w:r>
        <w:t>Пункт 5.1 → 6.1 (moved)</w:t>
      </w:r>
    </w:p>
    <w:tbl>
      <w:tblPr>
        <w:tblStyle w:val="TableGrid"/>
        <w:tblW w:type="auto" w:w="0"/>
        <w:tblLook w:firstColumn="1" w:firstRow="1" w:lastColumn="0" w:lastRow="0" w:noHBand="0" w:noVBand="1" w:val="04A0"/>
      </w:tblPr>
      <w:tblGrid>
        <w:gridCol w:w="4320"/>
        <w:gridCol w:w="4320"/>
      </w:tblGrid>
      <w:tr>
        <w:tc>
          <w:tcPr>
            <w:tcW w:type="dxa" w:w="4320"/>
          </w:tcPr>
          <w:p>
            <w:r>
              <w:t>БЫЛО:</w:t>
              <w:br/>
            </w:r>
          </w:p>
        </w:tc>
        <w:tc>
          <w:tcPr>
            <w:tcW w:type="dxa" w:w="4320"/>
          </w:tcPr>
          <w:p>
            <w:r>
              <w:t>СТАЛО:</w:t>
              <w:br/>
            </w:r>
          </w:p>
        </w:tc>
      </w:tr>
    </w:tbl>
    <w:p>
      <w:r>
        <w:rPr>
          <w:b/>
        </w:rPr>
        <w:br/>
        <w:t xml:space="preserve">Анализ LLM: </w:t>
      </w:r>
      <w:r>
        <w:t>Плановое изменение</w:t>
      </w:r>
    </w:p>
    <w:p>
      <w:r>
        <w:rPr>
          <w:b/>
        </w:rPr>
        <w:t xml:space="preserve">Основание: </w:t>
      </w:r>
      <w:r>
        <w:t>Не требуется</w:t>
      </w:r>
    </w:p>
    <w:p>
      <w:r>
        <w:rPr>
          <w:b/>
          <w:color w:val="228B22"/>
        </w:rPr>
        <w:t xml:space="preserve">Статус: </w:t>
      </w:r>
      <w:r>
        <w:rPr>
          <w:i/>
        </w:rPr>
        <w:t>Допустимо. Соответствует законодательству.</w:t>
      </w:r>
    </w:p>
    <w:p/>
    <w:p>
      <w:pPr>
        <w:pStyle w:val="Heading2"/>
      </w:pPr>
      <w:r>
        <w:t>Пункт 5.2 → 6.2 (moved)</w:t>
      </w:r>
    </w:p>
    <w:tbl>
      <w:tblPr>
        <w:tblStyle w:val="TableGrid"/>
        <w:tblW w:type="auto" w:w="0"/>
        <w:tblLook w:firstColumn="1" w:firstRow="1" w:lastColumn="0" w:lastRow="0" w:noHBand="0" w:noVBand="1" w:val="04A0"/>
      </w:tblPr>
      <w:tblGrid>
        <w:gridCol w:w="4320"/>
        <w:gridCol w:w="4320"/>
      </w:tblGrid>
      <w:tr>
        <w:tc>
          <w:tcPr>
            <w:tcW w:type="dxa" w:w="4320"/>
          </w:tcPr>
          <w:p>
            <w:r>
              <w:t>БЫЛО:</w:t>
              <w:br/>
            </w:r>
          </w:p>
        </w:tc>
        <w:tc>
          <w:tcPr>
            <w:tcW w:type="dxa" w:w="4320"/>
          </w:tcPr>
          <w:p>
            <w:r>
              <w:t>СТАЛО:</w:t>
              <w:br/>
            </w:r>
          </w:p>
        </w:tc>
      </w:tr>
    </w:tbl>
    <w:p>
      <w:r>
        <w:rPr>
          <w:b/>
        </w:rPr>
        <w:br/>
        <w:t xml:space="preserve">Анализ LLM: </w:t>
      </w:r>
      <w:r>
        <w:t>Плановое изменение</w:t>
      </w:r>
    </w:p>
    <w:p>
      <w:r>
        <w:rPr>
          <w:b/>
        </w:rPr>
        <w:t xml:space="preserve">Основание: </w:t>
      </w:r>
      <w:r>
        <w:t>Не требуется</w:t>
      </w:r>
    </w:p>
    <w:p>
      <w:r>
        <w:rPr>
          <w:b/>
          <w:color w:val="228B22"/>
        </w:rPr>
        <w:t xml:space="preserve">Статус: </w:t>
      </w:r>
      <w:r>
        <w:rPr>
          <w:i/>
        </w:rPr>
        <w:t>Допустимо. Соответствует законодательству.</w:t>
      </w:r>
    </w:p>
    <w:p/>
    <w:p>
      <w:pPr>
        <w:pStyle w:val="Heading2"/>
      </w:pPr>
      <w:r>
        <w:t>Пункт 3.2 (modified)</w:t>
      </w:r>
    </w:p>
    <w:tbl>
      <w:tblPr>
        <w:tblStyle w:val="TableGrid"/>
        <w:tblW w:type="auto" w:w="0"/>
        <w:tblLook w:firstColumn="1" w:firstRow="1" w:lastColumn="0" w:lastRow="0" w:noHBand="0" w:noVBand="1" w:val="04A0"/>
      </w:tblPr>
      <w:tblGrid>
        <w:gridCol w:w="4320"/>
        <w:gridCol w:w="4320"/>
      </w:tblGrid>
      <w:tr>
        <w:tc>
          <w:tcPr>
            <w:tcW w:type="dxa" w:w="4320"/>
          </w:tcPr>
          <w:p>
            <w:r>
              <w:t>БЫЛО:</w:t>
              <w:br/>
            </w:r>
          </w:p>
        </w:tc>
        <w:tc>
          <w:tcPr>
            <w:tcW w:type="dxa" w:w="4320"/>
          </w:tcPr>
          <w:p>
            <w:r>
              <w:t>СТАЛО:</w:t>
              <w:br/>
              <w:t>Работники обязаны подписать обязательство о неразглашении коммерческой тайны в течение 3 дней с даты ознакомления с Положением.</w:t>
            </w:r>
          </w:p>
        </w:tc>
      </w:tr>
    </w:tbl>
    <w:p>
      <w:r>
        <w:rPr>
          <w:b/>
        </w:rPr>
        <w:br/>
        <w:t xml:space="preserve">Анализ LLM: </w:t>
      </w:r>
      <w:r>
        <w:t>Статья 16 требует от работников подписать обязательство о неразглашении коммерческой тайны по требованию нанимателя, но не устанавливает конкретный срок. Добавление срока в 3 дня лишь ужесточает требование и не противоречит закону.</w:t>
      </w:r>
    </w:p>
    <w:p>
      <w:r>
        <w:rPr>
          <w:b/>
        </w:rPr>
        <w:t xml:space="preserve">Основание: </w:t>
      </w:r>
      <w:r>
        <w:t>H11300016_1357765200, ст.16</w:t>
      </w:r>
    </w:p>
    <w:p>
      <w:r>
        <w:rPr>
          <w:b/>
        </w:rPr>
        <w:t xml:space="preserve">Решение: </w:t>
      </w:r>
      <w:r>
        <w:t>Дополнительный срок не требует изменения, но при желании можно уточнить, что срок является внутренним регламентом организации и не ограничивает права работников.</w:t>
      </w:r>
    </w:p>
    <w:p>
      <w:r>
        <w:rPr>
          <w:b/>
          <w:color w:val="228B22"/>
        </w:rPr>
        <w:t xml:space="preserve">Статус: </w:t>
      </w:r>
      <w:r>
        <w:rPr>
          <w:i/>
        </w:rPr>
        <w:t>Допустимо. Соответствует законодательству.</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