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Юридическое заключение по результатам сравнения</w:t>
      </w:r>
    </w:p>
    <w:p>
      <w:r>
        <w:t>Дата отчета: 2026-03-20 15:10:05</w:t>
      </w:r>
    </w:p>
    <w:p>
      <w:r>
        <w:t>Документ: new_test.docx</w:t>
      </w:r>
    </w:p>
    <w:p>
      <w:r>
        <w:t>------------------------------</w:t>
      </w:r>
    </w:p>
    <w:p>
      <w:pPr>
        <w:pStyle w:val="Heading1"/>
      </w:pPr>
      <w:r>
        <w:rPr>
          <w:color w:val="C80000"/>
        </w:rPr>
        <w:t>1. КРИТИЧЕСКИЕ РИСКИ (КРАСНАЯ ЗОНА)</w:t>
      </w:r>
    </w:p>
    <w:p>
      <w:pPr>
        <w:pStyle w:val="Heading2"/>
      </w:pPr>
      <w:r>
        <w:t>Пункт 2.1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К коммерческой тайне Общества относятся: - сведения о финансовом состоянии; - сведения о клиентах и поставщиках; - сведения о разрабатываемых технологиях.</w:t>
            </w:r>
          </w:p>
        </w:tc>
        <w:tc>
          <w:tcPr>
            <w:tcW w:type="dxa" w:w="4320"/>
          </w:tcPr>
          <w:p>
            <w:r>
              <w:t>СТАЛО:</w:t>
              <w:br/>
              <w:t>К коммерческой тайне Общества относятся: - сведения о финансовом состоянии; - сведения о клиентах и поставщиках; - сведения о задолженности по выплате заработной платы - сведения о нарушениях трудовой дисциплины</w:t>
            </w:r>
          </w:p>
        </w:tc>
      </w:tr>
    </w:tbl>
    <w:p>
      <w:r>
        <w:rPr>
          <w:b/>
        </w:rPr>
        <w:br/>
        <w:t xml:space="preserve">Анализ LLM: </w:t>
      </w:r>
      <w:r>
        <w:t>LLM не предоставил анализ: Ошибка парсинга ответа LLM</w:t>
      </w:r>
    </w:p>
    <w:p>
      <w:r>
        <w:rPr>
          <w:b/>
        </w:rPr>
        <w:t xml:space="preserve">Основание: </w:t>
      </w:r>
      <w:r>
        <w:t>C:\Users\Lenovo\Downloads\H11300016_1357765200, ст.1 (часть 2)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2"/>
      </w:pPr>
      <w:r>
        <w:t>Пункт 5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Ответственность за нарушение</w:t>
            </w:r>
          </w:p>
        </w:tc>
      </w:tr>
    </w:tbl>
    <w:p>
      <w:r>
        <w:rPr>
          <w:b/>
        </w:rPr>
        <w:br/>
        <w:t xml:space="preserve">Анализ LLM: </w:t>
      </w:r>
      <w:r>
        <w:t>Добавленный текст представляет собой лишь общий заголовок «Ответственность за нарушение» и не содержит конкретных положений, противоречащих статье 1011. Однако он не отражает требований статьи, которые предполагают указание конкретных видов ответственности за незаконное использование секрета производства (ноу-хау).</w:t>
      </w:r>
    </w:p>
    <w:p>
      <w:r>
        <w:rPr>
          <w:b/>
        </w:rPr>
        <w:t xml:space="preserve">Основание: </w:t>
      </w:r>
      <w:r>
        <w:t>H11300016_1357765200, ст.1011</w:t>
      </w:r>
    </w:p>
    <w:p>
      <w:r>
        <w:rPr>
          <w:b/>
        </w:rPr>
        <w:t xml:space="preserve">Решение: </w:t>
      </w:r>
      <w:r>
        <w:t>Заменить общий заголовок более конкретным описанием ответственности, например: «Гражданская, административная и уголовная ответственность за незаконное использование секрета производства (ноу-хау)», с указанием размеров штрафов, мер ответственности и процедур, предусмотренных законом.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1"/>
      </w:pPr>
      <w:r>
        <w:rPr>
          <w:color w:val="DAA520"/>
        </w:rPr>
        <w:t>2. СРЕДНИЕ РИСКИ (ЖЕЛТАЯ ЗОНА)</w:t>
      </w:r>
    </w:p>
    <w:p>
      <w:pPr>
        <w:pStyle w:val="Heading2"/>
      </w:pPr>
      <w:r>
        <w:t>Пункт —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от 15.01.2025 № 5</w:t>
            </w:r>
          </w:p>
        </w:tc>
        <w:tc>
          <w:tcPr>
            <w:tcW w:type="dxa" w:w="4320"/>
          </w:tcPr>
          <w:p>
            <w:r>
              <w:t>СТАЛО:</w:t>
              <w:br/>
              <w:t>от 20.03.2026 № 12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21 требует последовательного присвоения номеров изменениям кодексов без пропусков. Замена номера с 5 на 12 нарушает это требование, так как пропущены номера 6‑11.</w:t>
      </w:r>
    </w:p>
    <w:p>
      <w:r>
        <w:rPr>
          <w:b/>
        </w:rPr>
        <w:t xml:space="preserve">Основание: </w:t>
      </w:r>
      <w:r>
        <w:t>C:\Users\Lenovo\Downloads\H11300016_1357765200, ст.21</w:t>
      </w:r>
    </w:p>
    <w:p>
      <w:r>
        <w:rPr>
          <w:b/>
        </w:rPr>
        <w:t xml:space="preserve">Решение: </w:t>
      </w:r>
      <w:r>
        <w:t>Присвоить следующему изменению корректный последовательный номер (например, №6) и при необходимости скорректировать реестр, чтобы номера 6‑11 были использованы в соответствующих изменениях.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3.2 → 5.1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За разглашение коммерческой тайны работники могут быть привлечены к дисциплинарной ответственности.</w:t>
            </w:r>
          </w:p>
        </w:tc>
        <w:tc>
          <w:tcPr>
            <w:tcW w:type="dxa" w:w="4320"/>
          </w:tcPr>
          <w:p>
            <w:r>
              <w:t>СТАЛО:</w:t>
              <w:br/>
              <w:t>За разглашение коммерческой тайны работник обязан возместить упущенную выгоду Общества.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11 части 2 лишь указывает, что нарушение коммерческой тайны влечет ответственность в соответствии с законодательными актами, не фиксируя конкретный вид ответственности (дисциплинарный или возмещение убытков). Поэтому изменение, вводящее обязанность возмещения упущенной выгоды, не противоречит закону.</w:t>
      </w:r>
    </w:p>
    <w:p>
      <w:r>
        <w:rPr>
          <w:b/>
        </w:rPr>
        <w:t xml:space="preserve">Основание: </w:t>
      </w:r>
      <w:r>
        <w:t>H11300016_1357765200, ст.11 (часть 2)</w:t>
      </w:r>
    </w:p>
    <w:p>
      <w:r>
        <w:rPr>
          <w:b/>
        </w:rPr>
        <w:t xml:space="preserve">Решение: </w:t>
      </w:r>
      <w:r>
        <w:t>Изменение допустимо; при желании уточнить форму ответственности можно добавить ссылку на конкретный нормативный акт, регулирующий возмещение убытков.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4.1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Доступ к сведениям, составляющим коммерческую тайну, предоставляется работникам в соответствии с их должностными обязанностями.</w:t>
            </w:r>
          </w:p>
        </w:tc>
        <w:tc>
          <w:tcPr>
            <w:tcW w:type="dxa" w:w="4320"/>
          </w:tcPr>
          <w:p>
            <w:r>
              <w:t>СТАЛО:</w:t>
              <w:br/>
              <w:t>Доступ к сведениям, составляющим коммерческую тайну, предоставляется только работникам, имеющим допуск к государственной тайне.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16 устанавливает обязанность работников соблюдать режим коммерческой тайны и подразумевает, что доступ к сведениям предоставляется в соответствии с должностными обязанностями. Закон не требует наличия допуска к государственной тайне для доступа к коммерческой тайне. Ограничение доступа только сотрудникам с таким допуском вводит дополнительное условие, не предусмотренное законом, и может препятствовать выполнению трудовых обязанностей, что противоречит принципу предоставления доступа согласно должностным обязанностям.</w:t>
      </w:r>
    </w:p>
    <w:p>
      <w:r>
        <w:rPr>
          <w:b/>
        </w:rPr>
        <w:t xml:space="preserve">Основание: </w:t>
      </w:r>
      <w:r>
        <w:t>H11300016_1357765200, ст.16</w:t>
      </w:r>
    </w:p>
    <w:p>
      <w:r>
        <w:rPr>
          <w:b/>
        </w:rPr>
        <w:t xml:space="preserve">Решение: </w:t>
      </w:r>
      <w:r>
        <w:t>Восстановить формулировку, позволяющую предоставлять доступ к коммерческой тайне работникам в соответствии с их должностными обязанностями, а требовать допуск к государственной тайне только в случае, если сведения одновременно относятся к государственной тайне.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4.2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Решение о допуске принимает служба безопасности единолично.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11 часть 2 регулирует ответственность за препятствование правомерным действиям в сфере коммерческой тайны и не устанавливает порядок принятия решения о допуске. Добавленный текст о единоличном принятии решения службой безопасности не противоречит требованиям этой статьи.</w:t>
      </w:r>
    </w:p>
    <w:p>
      <w:r>
        <w:rPr>
          <w:b/>
        </w:rPr>
        <w:t xml:space="preserve">Основание: </w:t>
      </w:r>
      <w:r>
        <w:t>H11300016_1357765200, ст.11 (часть 2)</w:t>
      </w:r>
    </w:p>
    <w:p>
      <w:r>
        <w:rPr>
          <w:b/>
        </w:rPr>
        <w:t xml:space="preserve">Решение: </w:t>
      </w:r>
      <w:r>
        <w:t>Изменение не требует корректировки в контексте данной статьи.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6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Внесение изменений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21 предписывает внесение как изменений, так и дополнений в кодексы. Добавленный текст содержит лишь фразу «Внесение изменений», не упоминая дополнения, что делает его неполным по отношению к требованию закона.</w:t>
      </w:r>
    </w:p>
    <w:p>
      <w:r>
        <w:rPr>
          <w:b/>
        </w:rPr>
        <w:t xml:space="preserve">Основание: </w:t>
      </w:r>
      <w:r>
        <w:t>H11300016_1357765200, ст.21</w:t>
      </w:r>
    </w:p>
    <w:p>
      <w:r>
        <w:rPr>
          <w:b/>
        </w:rPr>
        <w:t xml:space="preserve">Решение: </w:t>
      </w:r>
      <w:r>
        <w:t>Дополнить текст, включив упоминание о дополнениях, например: «Внесение изменений и дополнений».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1"/>
      </w:pPr>
      <w:r>
        <w:rPr>
          <w:color w:val="228B22"/>
        </w:rPr>
        <w:t>3. НИЗКИЙ РИСК / ТЕХНИЧЕСКИЕ ПРАВКИ</w:t>
      </w:r>
    </w:p>
    <w:p>
      <w:pPr>
        <w:pStyle w:val="Heading2"/>
      </w:pPr>
      <w:r>
        <w:t>Пункт 4.2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Допуск работников осуществляется на основании приказа директора.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Заключительные положения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5.1 → 6.1 (moved)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5.2 → 6.2 (moved)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3.2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Работники обязаны подписать обязательство о неразглашении коммерческой тайны в течение 3 дней с даты ознакомления с Положением.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16 требует от работников подписать обязательство о неразглашении коммерческой тайны по требованию нанимателя, но не устанавливает конкретный срок. Добавление срока в 3 дня является более строгим внутренним требованием и не противоречит закону.</w:t>
      </w:r>
    </w:p>
    <w:p>
      <w:r>
        <w:rPr>
          <w:b/>
        </w:rPr>
        <w:t xml:space="preserve">Основание: </w:t>
      </w:r>
      <w:r>
        <w:t>H11300016_1357765200, ст.16</w:t>
      </w:r>
    </w:p>
    <w:p>
      <w:r>
        <w:rPr>
          <w:b/>
        </w:rPr>
        <w:t xml:space="preserve">Решение: </w:t>
      </w:r>
      <w:r>
        <w:t>Сохранить требование о подписании в течение 3 дней, убедившись, что оно не нарушает другие нормативные акты и согласовано с внутренними процедурами предприятия.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