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Юридическое заключение по результатам сравнения</w:t>
      </w:r>
    </w:p>
    <w:p>
      <w:r>
        <w:t>Дата отчета: 2026-03-20 15:46:56</w:t>
      </w:r>
    </w:p>
    <w:p>
      <w:r>
        <w:t>Документ: new_test_fBECrVR.docx</w:t>
      </w:r>
    </w:p>
    <w:p>
      <w:r>
        <w:t>------------------------------</w:t>
      </w:r>
    </w:p>
    <w:p>
      <w:pPr>
        <w:pStyle w:val="Heading1"/>
      </w:pPr>
      <w:r>
        <w:rPr>
          <w:color w:val="C80000"/>
        </w:rPr>
        <w:t>1. КРИТИЧЕСКИЕ РИСКИ (КРАСНАЯ ЗОНА)</w:t>
      </w:r>
    </w:p>
    <w:p>
      <w:pPr>
        <w:pStyle w:val="Heading2"/>
      </w:pPr>
      <w:r>
        <w:t>Пункт —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от 15.01.2025 № 5</w:t>
            </w:r>
          </w:p>
        </w:tc>
        <w:tc>
          <w:tcPr>
            <w:tcW w:type="dxa" w:w="4320"/>
          </w:tcPr>
          <w:p>
            <w:r>
              <w:t>СТАЛО:</w:t>
              <w:br/>
              <w:t>от 20.03.2026 № 12</w:t>
            </w:r>
          </w:p>
        </w:tc>
      </w:tr>
    </w:tbl>
    <w:p>
      <w:r>
        <w:rPr>
          <w:b/>
        </w:rPr>
        <w:br/>
        <w:t xml:space="preserve">Анализ LLM: </w:t>
      </w:r>
      <w:r>
        <w:t>Изменение даты и номера элемента выполнено без указания нормативного акта, который в соответствии со ст. 21 должен быть законом, принятым в установленном порядке. Простая замена текста не соответствует требованию о внесении изменений в кодексы только на основании закона.</w:t>
      </w:r>
    </w:p>
    <w:p>
      <w:r>
        <w:rPr>
          <w:b/>
        </w:rPr>
        <w:t xml:space="preserve">Основание: </w:t>
      </w:r>
      <w:r>
        <w:t>H11300016_1357765200, ст.21</w:t>
      </w:r>
    </w:p>
    <w:p>
      <w:r>
        <w:rPr>
          <w:b/>
        </w:rPr>
        <w:t xml:space="preserve">Решение: </w:t>
      </w:r>
      <w:r>
        <w:t>Оформить изменение в виде законопроекта, пройти все стадии законодательного процесса, после принятия закона опубликовать его с указанием даты и номера, а затем уже вносить корректировку в документ, ссылаясь на принятый закон.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2"/>
      </w:pPr>
      <w:r>
        <w:t>Пункт 5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Ответственность за нарушение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 только заголовок «Ответственность за нарушение», который не содержит требований, предусмотренных статьёй 21 о порядке внесения изменений и дополнений в кодексы. Текст не соответствует требуемому содержанию и, следовательно, нарушает закон.</w:t>
      </w:r>
    </w:p>
    <w:p>
      <w:r>
        <w:rPr>
          <w:b/>
        </w:rPr>
        <w:t xml:space="preserve">Основание: </w:t>
      </w:r>
      <w:r>
        <w:t>H11300016_1357765200, ст.21</w:t>
      </w:r>
    </w:p>
    <w:p>
      <w:r>
        <w:rPr>
          <w:b/>
        </w:rPr>
        <w:t xml:space="preserve">Решение: </w:t>
      </w:r>
      <w:r>
        <w:t>Заменить заголовок на конкретные положения, регламентирующие порядок внесения изменений и дополнений в кодексы, включая порядок разработки, согласования и утверждения таких изменений в соответствии с законодательством.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1"/>
      </w:pPr>
      <w:r>
        <w:rPr>
          <w:color w:val="DAA520"/>
        </w:rPr>
        <w:t>2. СРЕДНИЕ РИСКИ (ЖЕЛТАЯ ЗОНА)</w:t>
      </w:r>
    </w:p>
    <w:p>
      <w:pPr>
        <w:pStyle w:val="Heading2"/>
      </w:pPr>
      <w:r>
        <w:t>Пункт 2.1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разрабатываемых технологиях.</w:t>
            </w:r>
          </w:p>
        </w:tc>
        <w:tc>
          <w:tcPr>
            <w:tcW w:type="dxa" w:w="4320"/>
          </w:tcPr>
          <w:p>
            <w:r>
              <w:t>СТАЛО: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задолженности по выплате заработной платы - сведения о нарушениях трудовой дисциплины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часть 2 регулирует ответственность за нарушение режима коммерческой тайны, но не определяет перечень сведений, которые могут считаться коммерческой тайной. Добавление сведений о задолженности по выплате заработной платы и о нарушениях трудовой дисциплины не противоречит формулировке этой статьи, хотя такие сведения могут подпадать под действие других нормативных актов (например, закон о персональных данных).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Проверить соответствие включаемых сведений определению коммерческой тайны в соответствующем законодательстве (например, закон о коммерческой тайне) и убедиться, что они не являются персональными данными, подпадающими под защиту закона о персональных данных.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3.2 → 5.1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 разглашение коммерческой тайны работники могут быть привлечены к дисциплинарной ответственности.</w:t>
            </w:r>
          </w:p>
        </w:tc>
        <w:tc>
          <w:tcPr>
            <w:tcW w:type="dxa" w:w="4320"/>
          </w:tcPr>
          <w:p>
            <w:r>
              <w:t>СТАЛО:</w:t>
              <w:br/>
              <w:t>За разглашение коммерческой тайны работник обязан возместить упущенную выгоду Общества.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(часть 2) лишь указывает, что за разглашение коммерческой тайны наступает ответственность в соответствии с законодательными актами, не определяя конкретный вид ответственности. Новое формулирование вводит обязательное возмещение упущенной выгоды, чего закон не предписывает, тем самым добавляя требование, не предусмотренное статьёй.</w:t>
      </w:r>
    </w:p>
    <w:p>
      <w:r>
        <w:rPr>
          <w:b/>
        </w:rPr>
        <w:t xml:space="preserve">Основание: </w:t>
      </w:r>
      <w:r>
        <w:t>C:\Users\Lenovo\Downloads\H11300016_1357765200, ст.11 (часть 2)</w:t>
      </w:r>
    </w:p>
    <w:p>
      <w:r>
        <w:rPr>
          <w:b/>
        </w:rPr>
        <w:t xml:space="preserve">Решение: </w:t>
      </w:r>
      <w:r>
        <w:t>Заменить формулировку на более общую, например: «За разглашение коммерческой тайны работник несёт ответственность в соответствии с законодательными актами», либо уточнить, что возмещение упущенной выгоды возможно только если это предусмотрено отдельным нормативным актом.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4.1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Доступ к сведениям, составляющим коммерческую тайну, предоставляется работникам в соответствии с их должностными обязанностями.</w:t>
            </w:r>
          </w:p>
        </w:tc>
        <w:tc>
          <w:tcPr>
            <w:tcW w:type="dxa" w:w="4320"/>
          </w:tcPr>
          <w:p>
            <w:r>
              <w:t>СТАЛО:</w:t>
              <w:br/>
              <w:t>Доступ к сведениям, составляющим коммерческую тайну, предоставляется только работникам, имеющим допуск к государственной тайне.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часть 2 закона предусматривает ответственность за препятствование законным действиям по получению доступа к сведениям, составляющим коммерческую тайну. Ограничение доступа только работникам, имеющим допуск к государственной тайне, создает препятствия для иных работников, которым доступ необходим в рамках их должностных обязанностей, тем самым противоречит принципу обеспечения законного доступа, установленному законом.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Изменить формулировку так, чтобы доступ к сведениям, составляющим коммерческую тайну, предоставлялся работникам в соответствии с их должностными обязанностями, без обязательного требования наличия допуска к государственной тайне, либо предусмотреть отдельные исключения, не ограничивая общий доступ.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6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Внесение изменений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фрагмент «Внесение изменений» не содержит информации, относящейся к ноу-хау, не раскрывает конфиденциальные сведения и не нарушает условия правовой охраны, предусмотренные статьёй 1010.</w:t>
      </w:r>
    </w:p>
    <w:p>
      <w:r>
        <w:rPr>
          <w:b/>
        </w:rPr>
        <w:t xml:space="preserve">Основание: </w:t>
      </w:r>
      <w:r>
        <w:t>H11300016_1357765200, ст.1010</w:t>
      </w:r>
    </w:p>
    <w:p>
      <w:r>
        <w:rPr>
          <w:b/>
        </w:rPr>
        <w:t xml:space="preserve">Решение: </w:t>
      </w:r>
      <w:r>
        <w:t>Сохранить текущий текст, так как он не противоречит требованиям закона.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1"/>
      </w:pPr>
      <w:r>
        <w:rPr>
          <w:color w:val="228B22"/>
        </w:rPr>
        <w:t>3. НИЗКИЙ РИСК / ТЕХНИЧЕСКИЕ ПРАВКИ</w:t>
      </w:r>
    </w:p>
    <w:p>
      <w:pPr>
        <w:pStyle w:val="Heading2"/>
      </w:pPr>
      <w:r>
        <w:t>Пункт 4.2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Допуск работников осуществляется на основании приказа директора.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Заключительные положения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5.1 → 6.1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5.2 → 6.2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3.2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Работники обязаны подписать обязательство о неразглашении коммерческой тайны в течение 3 дней с даты ознакомления с Положением.</w:t>
            </w:r>
          </w:p>
        </w:tc>
      </w:tr>
    </w:tbl>
    <w:p>
      <w:r>
        <w:rPr>
          <w:b/>
        </w:rPr>
        <w:br/>
        <w:t xml:space="preserve">Анализ LLM: </w:t>
      </w:r>
      <w:r>
        <w:t>Закон не устанавливает конкретный срок подписания обязательства о неразглашении коммерческой тайны и не запрещает работодателю вводить такие сроки в своих внутренних нормативных актах. Поэтому требование подписать обязательство в течение 3 дней не противоречит статье 17.</w:t>
      </w:r>
    </w:p>
    <w:p>
      <w:r>
        <w:rPr>
          <w:b/>
        </w:rPr>
        <w:t xml:space="preserve">Основание: </w:t>
      </w:r>
      <w:r>
        <w:t>H11300016_1357765200, ст.17</w:t>
      </w:r>
    </w:p>
    <w:p>
      <w:r>
        <w:rPr>
          <w:b/>
        </w:rPr>
        <w:t xml:space="preserve">Решение: </w:t>
      </w:r>
      <w:r>
        <w:t>Сохранить требование о подписании в течение 3 дней, но убедиться, что срок является разумным и не нарушает трудовые права работников.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Решение о допуске принимает служба безопасности единолично.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часть 2 регулирует ответственность за нарушение коммерческой тайны и препятствование правомерным действиям органов в получении доступа к такой информации. Текст о том, что решение о допуске принимает служба безопасности единолично, не относится к регулированию коммерческой тайны и не противоречит положениям статьи.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Изменение не требует корректировки в контексте данной статьи.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