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Юридическое заключение по результатам сравнения</w:t>
      </w:r>
    </w:p>
    <w:p>
      <w:r>
        <w:t>Дата отчета: 2026-03-20 15:05:21</w:t>
      </w:r>
    </w:p>
    <w:p>
      <w:r>
        <w:t>Документ: new_test.docx</w:t>
      </w:r>
    </w:p>
    <w:p>
      <w:r>
        <w:t>------------------------------</w:t>
      </w:r>
    </w:p>
    <w:p>
      <w:pPr>
        <w:pStyle w:val="Heading1"/>
      </w:pPr>
      <w:r>
        <w:rPr>
          <w:color w:val="C80000"/>
        </w:rPr>
        <w:t>1. КРИТИЧЕСКИЕ РИСКИ (КРАСНАЯ ЗОНА)</w:t>
      </w:r>
    </w:p>
    <w:p>
      <w:pPr>
        <w:pStyle w:val="Heading2"/>
      </w:pPr>
      <w:r>
        <w:t>Пункт 3.2 → 5.1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 разглашение коммерческой тайны работники могут быть привлечены к дисциплинарной ответственности.</w:t>
            </w:r>
          </w:p>
        </w:tc>
        <w:tc>
          <w:tcPr>
            <w:tcW w:type="dxa" w:w="4320"/>
          </w:tcPr>
          <w:p>
            <w:r>
              <w:t>СТАЛО:</w:t>
              <w:br/>
              <w:t>За разглашение коммерческой тайны работник обязан возместить упущенную выгоду Общества.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18 закона лишь указывает, что за разглашение коммерческой тайны физические и юридические лица несут ответственность в соответствии с законодательными актами, не предписывая конкретно возмещение упущенной выгоды. Новая формулировка ограничивает ответственность только возмещением, исключая другие виды ответственности (дисциплинарную, административную, уголовную), что не соответствует широте, предусмотренной законом.</w:t>
      </w:r>
    </w:p>
    <w:p>
      <w:r>
        <w:rPr>
          <w:b/>
        </w:rPr>
        <w:t xml:space="preserve">Основание: </w:t>
      </w:r>
      <w:r>
        <w:t>H11300016_1357765200, ст.18</w:t>
      </w:r>
    </w:p>
    <w:p>
      <w:r>
        <w:rPr>
          <w:b/>
        </w:rPr>
        <w:t xml:space="preserve">Решение: </w:t>
      </w:r>
      <w:r>
        <w:t>Сформулировать положение так, чтобы оно отражало возможность применения любой ответственности, предусмотренной законом, например: "За разглашение коммерческой тайны работник может быть привлечён к ответственности, предусмотренной законодательными актами, в том числе к возмещению упущенной выгоды общества".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2"/>
      </w:pPr>
      <w:r>
        <w:t>Пункт 6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Внесение изменений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текст состоит лишь из фразы «Внесение изменений», тогда как статья 21 требует конкретного описания изменений и дополнений, вносимых в кодексы. Отсутствие указания, какие нормы изменяются и каким образом, делает текст несоответствующим требованиям закона.</w:t>
      </w:r>
    </w:p>
    <w:p>
      <w:r>
        <w:rPr>
          <w:b/>
        </w:rPr>
        <w:t xml:space="preserve">Основание: </w:t>
      </w:r>
      <w:r>
        <w:t>C:\Users\Lenovo\Downloads\H11300016_1357765200, ст.21</w:t>
      </w:r>
    </w:p>
    <w:p>
      <w:r>
        <w:rPr>
          <w:b/>
        </w:rPr>
        <w:t xml:space="preserve">Решение: </w:t>
      </w:r>
      <w:r>
        <w:t>Указать конкретные нормы, которые изменяются, привести их текст до и после изменения, указать основания и порядок внесения изменений в соответствии с установленными процедурами.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1"/>
      </w:pPr>
      <w:r>
        <w:rPr>
          <w:color w:val="DAA520"/>
        </w:rPr>
        <w:t>2. СРЕДНИЕ РИСКИ (ЖЕЛТАЯ ЗОНА)</w:t>
      </w:r>
    </w:p>
    <w:p>
      <w:pPr>
        <w:pStyle w:val="Heading2"/>
      </w:pPr>
      <w:r>
        <w:t>Пункт —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от 15.01.2025 № 5</w:t>
            </w:r>
          </w:p>
        </w:tc>
        <w:tc>
          <w:tcPr>
            <w:tcW w:type="dxa" w:w="4320"/>
          </w:tcPr>
          <w:p>
            <w:r>
              <w:t>СТАЛО:</w:t>
              <w:br/>
              <w:t>от 20.03.2026 № 12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21 регулирует порядок внесения изменений и дополнений в кодексы, а представляемое изменение лишь корректирует ссылку на нормативный акт (дату и номер). Такое уточнение не противоречит требованиям статьи, поскольку не изменяет содержание нормативного акта и не нарушает установленный порядок принятия изменений.</w:t>
      </w:r>
    </w:p>
    <w:p>
      <w:r>
        <w:rPr>
          <w:b/>
        </w:rPr>
        <w:t xml:space="preserve">Основание: </w:t>
      </w:r>
      <w:r>
        <w:t>H11300016_1357765200, ст.21</w:t>
      </w:r>
    </w:p>
    <w:p>
      <w:r>
        <w:rPr>
          <w:b/>
        </w:rPr>
        <w:t xml:space="preserve">Решение: </w:t>
      </w:r>
      <w:r>
        <w:t>Убедиться, что ссылка на новый нормативный акт (от 20.03.2026 № 12) действительно соответствует официально принятым документам и была принята в установленном порядке.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2.1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разрабатываемых технологиях.</w:t>
            </w:r>
          </w:p>
        </w:tc>
        <w:tc>
          <w:tcPr>
            <w:tcW w:type="dxa" w:w="4320"/>
          </w:tcPr>
          <w:p>
            <w:r>
              <w:t>СТАЛО: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задолженности по выплате заработной платы - сведения о нарушениях трудовой дисциплины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 (часть 2) определяет коммерческую тайну как сведения, имеющие коммерческую ценность и сохраняемые в тайне. В ней не указано, что к коммерческой тайне могут относиться сведения о задолженности по выплате заработной платы и о нарушениях трудовой дисциплины, которые относятся к персональным данным работников и регулируются трудовым законодательством, требующим их открытости и недискриминации. Таким образом, включение этих сведений в перечень коммерческой тайны может противоречить другим нормативным актам и принципу, что коммерческая тайна должна охватывать только сведения, имеющие коммерческую ценность и не являющиеся персональными данными.</w:t>
      </w:r>
    </w:p>
    <w:p>
      <w:r>
        <w:rPr>
          <w:b/>
        </w:rPr>
        <w:t xml:space="preserve">Основание: </w:t>
      </w:r>
      <w:r>
        <w:t>H11300016_1357765200, ст.1 (часть 2)</w:t>
      </w:r>
    </w:p>
    <w:p>
      <w:r>
        <w:rPr>
          <w:b/>
        </w:rPr>
        <w:t xml:space="preserve">Решение: </w:t>
      </w:r>
      <w:r>
        <w:t>Убрать из перечня коммерческой тайны сведения о задолженности по выплате заработной платы и о нарушениях трудовой дисциплины, либо обеспечить, чтобы такие сведения действительно имели коммерческую ценность и не нарушали трудовое законодательство о защите персональных данных работников.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4.1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Доступ к сведениям, составляющим коммерческую тайну, предоставляется работникам в соответствии с их должностными обязанностями.</w:t>
            </w:r>
          </w:p>
        </w:tc>
        <w:tc>
          <w:tcPr>
            <w:tcW w:type="dxa" w:w="4320"/>
          </w:tcPr>
          <w:p>
            <w:r>
              <w:t>СТАЛО:</w:t>
              <w:br/>
              <w:t>Доступ к сведениям, составляющим коммерческую тайну, предоставляется только работникам, имеющим допуск к государственной тайне.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(часть 2) устанавливает, что препятствие в получении доступа к сведениям, составляющим коммерческую тайну, влечёт ответственность. Закон не ограничивает доступ только работниками, имеющими допуск к государственной тайне, а наоборот защищает право на доступ в рамках должностных обязанностей. Новое требование вводит более строгий, не предусмотренный законом, критерий доступа, тем самым противоречит духу и букве закона.</w:t>
      </w:r>
    </w:p>
    <w:p>
      <w:r>
        <w:rPr>
          <w:b/>
        </w:rPr>
        <w:t xml:space="preserve">Основание: </w:t>
      </w:r>
      <w:r>
        <w:t>C:\Users\Lenovo\Downloads\H11300016_1357765200, ст.11 (часть 2)</w:t>
      </w:r>
    </w:p>
    <w:p>
      <w:r>
        <w:rPr>
          <w:b/>
        </w:rPr>
        <w:t xml:space="preserve">Решение: </w:t>
      </w:r>
      <w:r>
        <w:t>Вернуть формулировку, позволяющую доступ к коммерческой тайне работникам в соответствии с их должностными обязанностями, без обязательного наличия допуска к государственной тайне.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4.2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Решение о допуске принимает служба безопасности единолично.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Добавленное предложение о том, что решение о допуске принимает служба безопасности единолично, не относится к регулированию коммерческой тайны и не противоречит положениям статьи 11 части 2, которая касается ответственности за препятствие правомерным действиям в сфере коммерческой тайны.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Текст можно оставить без изменений, так как он не нарушает требования статьи.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5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Ответственность за нарушение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 только заголовок «Ответственность за нарушение», который не содержит требований статьи 1011 о конкретных мерах ответственности за незаконное использование секрета производства (ноу-хау). Закон требует указания конкретных санкций, размеров штрафов, сроков лишения свободы и пр., а представленный текст полностью их не отражает, что делает документ несоответствующим требованиям закона.</w:t>
      </w:r>
    </w:p>
    <w:p>
      <w:r>
        <w:rPr>
          <w:b/>
        </w:rPr>
        <w:t xml:space="preserve">Основание: </w:t>
      </w:r>
      <w:r>
        <w:t>C:\Users\Lenovo\Downloads\H11300016_1357765200, ст.1011</w:t>
      </w:r>
    </w:p>
    <w:p>
      <w:r>
        <w:rPr>
          <w:b/>
        </w:rPr>
        <w:t xml:space="preserve">Решение: </w:t>
      </w:r>
      <w:r>
        <w:t>Заменить заголовок на полный нормативный пункт, включающий конкретные виды ответственности (штрафы, административные взыскания, уголовные наказания), их размеры и условия применения в соответствии со статьей 1011.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1"/>
      </w:pPr>
      <w:r>
        <w:rPr>
          <w:color w:val="228B22"/>
        </w:rPr>
        <w:t>3. НИЗКИЙ РИСК / ТЕХНИЧЕСКИЕ ПРАВКИ</w:t>
      </w:r>
    </w:p>
    <w:p>
      <w:pPr>
        <w:pStyle w:val="Heading2"/>
      </w:pPr>
      <w:r>
        <w:t>Пункт 4.2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Допуск работников осуществляется на основании приказа директора.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Заключительные положения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5.1 → 6.1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5.2 → 6.2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3.2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Работники обязаны подписать обязательство о неразглашении коммерческой тайны в течение 3 дней с даты ознакомления с Положением.</w:t>
            </w:r>
          </w:p>
        </w:tc>
      </w:tr>
    </w:tbl>
    <w:p>
      <w:r>
        <w:rPr>
          <w:b/>
        </w:rPr>
        <w:br/>
        <w:t xml:space="preserve">Анализ LLM: </w:t>
      </w:r>
      <w:r>
        <w:t>Текст вводит требование подписать обязательство о неразглашении в течение 3 дней после ознакомления с Положением. Закон не устанавливает фиксированный срок подписания и не запрещает работодателю устанавливать такие сроки. Поэтому требование не противоречит статье 17.</w:t>
      </w:r>
    </w:p>
    <w:p>
      <w:r>
        <w:rPr>
          <w:b/>
        </w:rPr>
        <w:t xml:space="preserve">Основание: </w:t>
      </w:r>
      <w:r>
        <w:t>H11300016_1357765200, ст.17</w:t>
      </w:r>
    </w:p>
    <w:p>
      <w:r>
        <w:rPr>
          <w:b/>
        </w:rPr>
        <w:t xml:space="preserve">Решение: </w:t>
      </w:r>
      <w:r>
        <w:t>Текст можно оставить без изменений, так как он не нарушает закон. При желании можно уточнить, что срок подписания согласуется с внутренними регламентами работодателя.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