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14:58:10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закона лишь устанавливает ответственность за препятствие в получении доступа к сведениям, составляющим коммерческую тайну, но не ограничивает право доступа только работниками, имеющими допуск к государственной тайне. Новое формулирование вводит дополнительное условие, не предусмотренное законом, тем самым ограничивая доступ сверх установленного правового режима.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Вернуть формулировку, позволяющую доступ к сведениям, составляющим коммерческую тайну, работникам в соответствии с их должностными обязанностями, без требования наличия допуска к государственной тайне.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 только заголовок «Ответственность за нарушение», который не содержит требований статьи 1011 о конкретных мерах ответственности за незаконное использование секрета производства (ноу-хау). Отсутствие обязательного содержания считается несоответствием закону.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полным текстом статьи 1011, включив перечень правовых последствий, штрафов и иных мер ответственности за незаконное использование ноу-хау.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11 части 2 говорится о защите коммерческой тайны и ответственности за препятствование правомерному доступу к сведениям, составляющим коммерческую тайну. Включение в перечень коммерческой тайны сведений о задолженности по выплате заработной платы и о нарушениях трудовой дисциплины противоречит трудовому законодательству, согласно которому такие сведения подлежат раскрытию контролирующим органам и не могут быть скрыты как коммерческая тайна. Таким образом, изменение может привести к препятствию законного доступа к этим сведениям, что нарушает смысл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Исключить из определения коммерческой тайны сведения о задолженности по выплате заработной платы и о нарушениях трудовой дисциплины, оставив только те сведения, которые действительно могут быть отнесены к коммерческой тайне в соответствии с другими нормативными актами.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закона лишь указывает, что за разглашение коммерческой тайны предусмотрена ответственность в соответствии с законодательными актами, не ограничивая её конкретным видом (дисциплинарной, административной, гражданской и т.д.). Поэтому требование возмещения упущенной выгоды работником не противоречит закону, а является одной из возможных форм ответственности.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Сохранить формулировку о возмещении упущенной выгоды, уточнив, что она применяется в соответствии с гражданским законодательством (например, Гражданским кодексом).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"Внесение изменений" соответствует теме статьи 21, которая регулирует внесение изменений и дополнений в кодексы. Текст не противоречит требованиям закона, а лишь отражает его предмет.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Для полного соответствия закону следует добавить детали процедуры внесения изменений, указанные в статье, например порядок утверждения и публикации изменений.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документа не противоречит требованиям статьи 1010, так как статья регулирует условия правовой охраны ноу-хау (наличие письменного оформления, указание даты и подписи), а новое оформление сохраняет эти требования.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текущий формат указания даты и номера, убедившись, что документ подписан уполномоченным лицом.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Текст вводит дополнительное требование о сроке подписания (3 дня), что не противоречит статье 16, где лишь предписано подписать обязательство по требованию нанимателя без указания сроков. Установление срока не запрещено и может рассматриваться как уточнение внутренней политики.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убедившись, что срок является разумным и не препятствует выполнению обязательства по закону.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указывает, что условия и порядок отнесения информации к служебной тайне определяются законодательством, но не ограничивает, кто может принимать решение о допуске. Добавленное положение о единоличном принятии решения службой безопасности не противоречит указанному требованию.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корректировки, так как не нарушает закон.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