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2026-03-19 18:09:37</w:t>
      </w:r>
    </w:p>
    <w:p>
      <w:r>
        <w:t>Документ: C:\Users\Lenovo\.vscode\Python\yourise.ai\backend\tmp_uploads\new_test.docx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  [← НАРУШЕНИЕ! Закон №16-З, ст.19 не требует возмещения упущенной выгоды, только убытки]</w:t>
            </w:r>
          </w:p>
        </w:tc>
      </w:tr>
    </w:tbl>
    <w:p>
      <w:r>
        <w:rPr>
          <w:b/>
        </w:rPr>
        <w:br/>
        <w:t xml:space="preserve">Анализ LLM: </w:t>
      </w:r>
      <w:r>
        <w:t>В добавленном тексте установлено обязательство работника возместить упущенную выгоду, тогда как закон №16-З, ст.19 (и ст.18) предусматривает возмещение только убытков, а не упущенной выгоды. Таким образом, требование противоречит норме закона.</w:t>
      </w:r>
    </w:p>
    <w:p>
      <w:r>
        <w:rPr>
          <w:b/>
        </w:rPr>
        <w:t xml:space="preserve">Основание: </w:t>
      </w:r>
      <w:r>
        <w:t>C:\Users\Lenovo\Downloads\H11300016_1357765200, ст.18</w:t>
      </w:r>
    </w:p>
    <w:p>
      <w:r>
        <w:rPr>
          <w:b/>
        </w:rPr>
        <w:t xml:space="preserve">Решение: </w:t>
      </w:r>
      <w:r>
        <w:t>Заменить формулировку «возместить упущенную выгоду» на «возместить убытки», либо полностью убрать требование о возмещении упущенной выгоды.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требует, чтобы в тексте присутствовали как "внесение изменений", так и "дополнений в кодексы". Добавленный фрагмент содержит только "Внесение изменений" и не включает требуемую часть о дополнениях, что нарушает требование статьи.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текст до полного соответствия закону, например: "Внесение изменений и дополнений в кодексы".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документа не затрагивает условия правовой охраны секрета производства, указанные в ст. 1010. Статья регулирует требования к содержанию, хранению и использованию ноу-хау, а не формальные реквизиты ссылок на документы.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Изменение корректно; дополнительных правок не требуется.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 (часть 2) лишь определяет, что сведения, составляющие коммерческую тайну, должны быть защищены от раскрытия без согласия владельца. В ней не ограничивает перечень сведений, которые могут считаться коммерческой тайной, поэтому добавление сведений о задолженности по выплате заработной платы и о нарушениях трудовой дисциплины не противоречит данному пункту закона. Возможные конфликты могут возникнуть с другими нормативными актами (например, законом о персональных данных), но в рамках представленной статьи прямого или косвенного противоречия нет.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При включении в перечень коммерческой тайны сведений, относящихся к персональным данным работников, необходимо обеспечить их защиту в соответствии с законом о персональных данных и получить согласие субъектов данных, если это требуется.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защищает право на законный доступ к сведениям, составляющим коммерческую тайну, и предусматривает ответственность за препятствование такому доступу. Ограничение доступа только работникам, имеющим допуск к государственной тайне, создает дополнительный барьер, не предусмотренный законом, и тем самым препятствует законному доступу, что противоречит принципу, закрепленному в статье.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Установить доступ к сведениям, составляющим коммерческую тайну, на основании должностных обязанностей работников, а не только наличия допуска к государственной тайне.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Текст статьи 11 части 2 регулирует ответственность за препятствия в получении доступа к сведениям, составляющим коммерческую тайну. Добавленное предложение о том, что решение о допуске принимает служба безопасности единолично, не противоречит требованиям этой статьи и не затрагивает регулируемые ею вопросы.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указанной статьи закона.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регламентирует порядок внесения изменений и дополнений в кодексы, требуя конкретного содержания и правового обоснования. Добавленный элемент представляет собой лишь заголовок «Ответственность за нарушение» без дальнейшего текста, что не соответствует требованиям статьи о полном и обоснованном изложении изменений.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Разработать и включить в элемент полный текст, определяющий виды ответственности, размеры штрафов, порядок привлечения к ответственности и правовые основания, чтобы соответствовать требованиям статьи 21.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—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закона обязывает работников подписать обязательство о неразглашении коммерческой тайны по требованию нанимателя, но не устанавливает конкретный срок. Добавление внутреннего требования подписать обязательство в течение 3 дней не противоречит закону, а лишь уточняет порядок исполнения обязательства.</w:t>
      </w:r>
    </w:p>
    <w:p>
      <w:r>
        <w:rPr>
          <w:b/>
        </w:rPr>
        <w:t xml:space="preserve">Основание: </w:t>
      </w:r>
      <w:r>
        <w:t>C:\Users\Lenovo\Downloads\H11300016_1357765200,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так как оно не нарушает закон, но при желании можно уточнить, что срок является внутренним регламентом работодателя.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