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2026-03-19 18:14:53</w:t>
      </w:r>
    </w:p>
    <w:p>
      <w:r>
        <w:t>Документ: C:\Users\Lenovo\.vscode\Python\yourise.ai\backend\tmp_uploads\new_test.docx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требует, чтобы изменения и дополнения к кодексам оформлялись в порядке, установленном законодательством, с последовательным нумерованием и указанием даты их принятия. В изменении заменён номер с 5 на 12 без указания промежуточных номеров, что нарушает принцип последовательного нумерования и может указывать на отсутствие официального акта, подтверждающего такие номера.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Необходимо оформить изменение в виде отдельного нормативного акта, присвоив ему корректный последовательный номер (например, №6, если предшествующий акт №5) и указать точную дату его принятия. При необходимости использовать номер №12, следует предварительно оформить и опубликовать акты №6‑№11.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регулирует защиту коммерческой тайны как информации, имеющей коммерческую ценность, не являющейся общедоступной и находящейся в распоряжении субъекта. Сведения о задолженности по выплате заработной платы и о нарушениях трудовой дисциплины относятся к персональным данным работников, а не к информации, обладающей коммерческой ценностью, поэтому их включение в перечень коммерческой тайны противоречит определению коммерческой тайны, установленному законом.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такие сведения следует регулировать в рамках закона о персональных данных, а не закона о коммерческой тайне.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Новое требование ограничивает доступ к коммерческой тайне только работникам, имеющим допуск к государственной тайне. Закон (ст. 11, часть 2) предусматривает ответственность за препятствование правомерным действиям в получении доступа к сведениям, составляющим коммерческую тайну. Ограничение доступа, не основанное на должностных обязанностях, может препятствовать законному доступу и тем самым противоречит духу и формулировке статьи.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в соответствии с должностными обязанностями, либо добавить уточнение, что ограничение допускается только в случае, если это необходимо для выполнения конкретных служебных функций, а не только по наличию допуска к государственной тайне.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  [← НАРУШЕНИЕ! Закон №16-З, ст.19 не требует возмещения упущенной выгоды, только убытки]</w:t>
            </w:r>
          </w:p>
        </w:tc>
      </w:tr>
    </w:tbl>
    <w:p>
      <w:r>
        <w:rPr>
          <w:b/>
        </w:rPr>
        <w:br/>
        <w:t xml:space="preserve">Анализ LLM: </w:t>
      </w:r>
      <w:r>
        <w:t>В добавленном тексте установлено обязательство возмещения упущенной выгоды, тогда как закон №16-З, ст.19 предписывает возмещение только убытков, а не упущенной выгоды.</w:t>
      </w:r>
    </w:p>
    <w:p>
      <w:r>
        <w:rPr>
          <w:b/>
        </w:rPr>
        <w:t xml:space="preserve">Основание: </w:t>
      </w:r>
      <w:r>
        <w:t>H11300016_1357765200, ст.4 (часть 1)</w:t>
      </w:r>
    </w:p>
    <w:p>
      <w:r>
        <w:rPr>
          <w:b/>
        </w:rPr>
        <w:t xml:space="preserve">Решение: </w:t>
      </w:r>
      <w:r>
        <w:t>Заменить формулировку «возместить упущенную выгоду» на «возместить убытки», соответствующую формулировке закона.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регламентирует порядок внесения изменений и дополнений в кодексы и требует, чтобы новые положения содержали конкретные нормативные нормы. Добавленный фрагмент «Ответственность за нарушение» представляет собой лишь заголовок без указания конкретных правовых последствий, что не соответствует требованию закона о содержательной конкретизации изменений.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Заменить заголовок на полноценный нормативный пункт, в котором чётко определить виды нарушений и соответствующие меры ответственности (штрафы, административные санкции и т.п.).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«Внесение изменений» представляет собой лишь заголовок и не содержит положений, регулирующих условия правовой охраны секрета производства (ноу-хау). Поэтому он не противоречит требованиям статьи, но и не удовлетворяет их, так как не включает обязательные элементы, предусмотренные законом.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Заменить заголовок «Внесение изменений» конкретным текстом, в котором перечислены условия охраны секрета производства в соответствии со статьёй 1010: указать, что информация является коммерческой тайной, имеет экономическую ценность, защищена от разглашения и доступ к ней ограничен.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закона обязывает работников подписать обязательство о неразглашении коммерческой тайны по требованию нанимателя, но не устанавливает конкретный срок. Добавление требования подписать обязательство в течение 3 дней после ознакомления с Положением вводит более строгий внутренний срок, что не противоречит закону, а лишь уточняет порядок исполнения обязательства.</w:t>
      </w:r>
    </w:p>
    <w:p>
      <w:r>
        <w:rPr>
          <w:b/>
        </w:rPr>
        <w:t xml:space="preserve">Основание: </w:t>
      </w:r>
      <w:r>
        <w:t>C:\Users\Lenovo\Downloads\H11300016_1357765200, ст.16</w:t>
      </w:r>
    </w:p>
    <w:p>
      <w:r>
        <w:rPr>
          <w:b/>
        </w:rPr>
        <w:t xml:space="preserve">Решение: </w:t>
      </w:r>
      <w:r>
        <w:t>Текст можно оставить без изменений, однако рекомендуется уточнить, что срок в 3 дня является внутренним регламентом организации и не ограничивает права работников, предусмотренные законом.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но не устанавливает, каким органом или в какой форме принимается решение о допуске. Поэтому добавленное положение о единоличном решении службы безопасности не противоречит данному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Сохранить формулировку, так как она не нарушает указанную статью.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