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A1A2E"/>
          <w:sz w:val="28"/>
          <w:szCs w:val="28"/>
        </w:rPr>
        <w:t xml:space="preserve">UNIVERSIDAD ANDRÉS BELLO</w:t>
      </w:r>
    </w:p>
    <w:p>
      <w:pPr>
        <w:spacing w:after="80" w:before="0"/>
        <w:jc w:val="center"/>
      </w:pPr>
      <w:r>
        <w:rPr>
          <w:rFonts w:ascii="Arial" w:cs="Arial" w:eastAsia="Arial" w:hAnsi="Arial"/>
          <w:color w:val="555555"/>
          <w:sz w:val="22"/>
          <w:szCs w:val="22"/>
        </w:rPr>
        <w:t xml:space="preserve">Facultad de Ingeniería — Ingeniería Civil en Informática</w:t>
      </w:r>
    </w:p>
    <w:p>
      <w:pPr>
        <w:spacing w:after="60" w:before="60"/>
      </w:pPr>
      <w:r>
        <w:t xml:space="preserve"/>
      </w:r>
    </w:p>
    <w:p>
      <w:pPr>
        <w:pBdr>
          <w:bottom w:val="single" w:color="2E5BA8" w:sz="6" w:space="8"/>
        </w:pBdr>
        <w:spacing w:after="400" w:before="400"/>
        <w:jc w:val="center"/>
      </w:pPr>
      <w:r>
        <w:rPr>
          <w:rFonts w:ascii="Arial" w:cs="Arial" w:eastAsia="Arial" w:hAnsi="Arial"/>
          <w:b/>
          <w:bCs/>
          <w:color w:val="1A1A2E"/>
          <w:sz w:val="40"/>
          <w:szCs w:val="40"/>
        </w:rPr>
        <w:t xml:space="preserve">Plataforma de Predicción de Demanda y
Reabastecimiento Automático para Distribuidoras</w:t>
      </w:r>
    </w:p>
    <w:p>
      <w:pPr>
        <w:spacing w:after="100" w:before="300"/>
        <w:jc w:val="center"/>
      </w:pPr>
      <w:r>
        <w:rPr>
          <w:rFonts w:ascii="Arial" w:cs="Arial" w:eastAsia="Arial" w:hAnsi="Arial"/>
          <w:b/>
          <w:bCs/>
          <w:color w:val="2E5BA8"/>
          <w:sz w:val="24"/>
          <w:szCs w:val="24"/>
        </w:rPr>
        <w:t xml:space="preserve">Documento de Definición Formal</w:t>
      </w:r>
    </w:p>
    <w:p>
      <w:pPr>
        <w:spacing w:after="60" w:before="60"/>
        <w:jc w:val="center"/>
      </w:pPr>
      <w:r>
        <w:rPr>
          <w:rFonts w:ascii="Arial" w:cs="Arial" w:eastAsia="Arial" w:hAnsi="Arial"/>
          <w:color w:val="888888"/>
          <w:sz w:val="20"/>
          <w:szCs w:val="20"/>
        </w:rPr>
        <w:t xml:space="preserve">Fase 1 — Planteamiento del Problema</w:t>
      </w:r>
    </w:p>
    <w:p>
      <w:pPr>
        <w:spacing w:after="60" w:before="60"/>
      </w:pPr>
      <w:r>
        <w:t xml:space="preserve"/>
      </w:r>
    </w:p>
    <w:p>
      <w:pPr>
        <w:spacing w:after="60" w:before="6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55555"/>
                <w:sz w:val="20"/>
                <w:szCs w:val="20"/>
              </w:rPr>
              <w:t xml:space="preserve">Integrante 1:</w:t>
            </w:r>
          </w:p>
        </w:tc>
        <w:tc>
          <w:tcPr>
            <w:tcW w:type="dxa" w:w="4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333333"/>
                <w:sz w:val="20"/>
                <w:szCs w:val="20"/>
              </w:rPr>
              <w:t xml:space="preserve">[Nombre Integrante 1]</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55555"/>
                <w:sz w:val="20"/>
                <w:szCs w:val="20"/>
              </w:rPr>
              <w:t xml:space="preserve">Integrante 2:</w:t>
            </w:r>
          </w:p>
        </w:tc>
        <w:tc>
          <w:tcPr>
            <w:tcW w:type="dxa" w:w="4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333333"/>
                <w:sz w:val="20"/>
                <w:szCs w:val="20"/>
              </w:rPr>
              <w:t xml:space="preserve">[Nombre Integrante 2]</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55555"/>
                <w:sz w:val="20"/>
                <w:szCs w:val="20"/>
              </w:rPr>
              <w:t xml:space="preserve">Integrante 3:</w:t>
            </w:r>
          </w:p>
        </w:tc>
        <w:tc>
          <w:tcPr>
            <w:tcW w:type="dxa" w:w="4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333333"/>
                <w:sz w:val="20"/>
                <w:szCs w:val="20"/>
              </w:rPr>
              <w:t xml:space="preserve">Cristóbal [Apellido]</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55555"/>
                <w:sz w:val="20"/>
                <w:szCs w:val="20"/>
              </w:rPr>
              <w:t xml:space="preserve">Profesor guía:</w:t>
            </w:r>
          </w:p>
        </w:tc>
        <w:tc>
          <w:tcPr>
            <w:tcW w:type="dxa" w:w="4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333333"/>
                <w:sz w:val="20"/>
                <w:szCs w:val="20"/>
              </w:rPr>
              <w:t xml:space="preserve">[Nombre Profesor Guía]</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55555"/>
                <w:sz w:val="20"/>
                <w:szCs w:val="20"/>
              </w:rPr>
              <w:t xml:space="preserve">Fecha:</w:t>
            </w:r>
          </w:p>
        </w:tc>
        <w:tc>
          <w:tcPr>
            <w:tcW w:type="dxa" w:w="4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333333"/>
                <w:sz w:val="20"/>
                <w:szCs w:val="20"/>
              </w:rPr>
              <w:t xml:space="preserve">Mayo 2025</w:t>
            </w:r>
          </w:p>
        </w:tc>
      </w:tr>
    </w:tbl>
    <w:p>
      <w:r>
        <w:br/>
      </w:r>
    </w:p>
    <w:p>
      <w:pPr>
        <w:pStyle w:val="Heading1"/>
        <w:spacing w:after="160" w:before="320"/>
      </w:pPr>
      <w:r>
        <w:rPr>
          <w:rFonts w:ascii="Arial" w:cs="Arial" w:eastAsia="Arial" w:hAnsi="Arial"/>
          <w:b/>
          <w:bCs/>
          <w:color w:val="1A1A2E"/>
          <w:sz w:val="32"/>
          <w:szCs w:val="32"/>
        </w:rPr>
        <w:t xml:space="preserve">1. Planteamiento del problema</w:t>
      </w:r>
    </w:p>
    <w:p>
      <w:pPr>
        <w:pStyle w:val="Heading2"/>
        <w:spacing w:after="120" w:before="240"/>
      </w:pPr>
      <w:r>
        <w:rPr>
          <w:rFonts w:ascii="Arial" w:cs="Arial" w:eastAsia="Arial" w:hAnsi="Arial"/>
          <w:b/>
          <w:bCs/>
          <w:color w:val="2E5BA8"/>
          <w:sz w:val="26"/>
          <w:szCs w:val="26"/>
        </w:rPr>
        <w:t xml:space="preserve">1.1 Contexto</w:t>
      </w:r>
    </w:p>
    <w:p>
      <w:pPr>
        <w:spacing w:after="80" w:before="80"/>
        <w:jc w:val="both"/>
      </w:pPr>
      <w:r>
        <w:rPr>
          <w:rFonts w:ascii="Arial" w:cs="Arial" w:eastAsia="Arial" w:hAnsi="Arial"/>
          <w:color w:val="333333"/>
          <w:sz w:val="22"/>
          <w:szCs w:val="22"/>
        </w:rPr>
        <w:t xml:space="preserve">La gestión de inventario y la planificación de la demanda constituyen procesos críticos para las empresas distribuidoras. En el contexto latinoamericano, y específicamente en Chile, las pequeñas y medianas distribuidoras dependen en gran medida de hojas de cálculo y decisiones subjetivas ("por feeling") para determinar cuándo y cuánto reabastecerse. Este enfoque genera dos problemas recurrentes y costosos: el exceso de stock, que inmoviliza capital de trabajo, y los quiebres de stock, que producen pérdida de ventas y deterioro de la relación con los clientes.</w:t>
      </w:r>
    </w:p>
    <w:p>
      <w:pPr>
        <w:spacing w:after="60" w:before="60"/>
      </w:pPr>
      <w:r>
        <w:t xml:space="preserve"/>
      </w:r>
    </w:p>
    <w:p>
      <w:pPr>
        <w:spacing w:after="80" w:before="80"/>
        <w:jc w:val="both"/>
      </w:pPr>
      <w:r>
        <w:rPr>
          <w:rFonts w:ascii="Arial" w:cs="Arial" w:eastAsia="Arial" w:hAnsi="Arial"/>
          <w:color w:val="333333"/>
          <w:sz w:val="22"/>
          <w:szCs w:val="22"/>
        </w:rPr>
        <w:t xml:space="preserve">El forecasting de demanda, combinado con modelos formales de gestión de inventario, ofrece una solución técnica a este problema. Sin embargo, la literatura existente aplica estos modelos de forma homogénea a todos los productos (SKUs), sin considerar que productos distintos presentan patrones de demanda distintos — estacionalidad, tendencia, volatilidad — que pueden favorecer diferentes modelos de predicción.</w:t>
      </w:r>
    </w:p>
    <w:p>
      <w:pPr>
        <w:spacing w:after="60" w:before="60"/>
      </w:pPr>
      <w:r>
        <w:t xml:space="preserve"/>
      </w:r>
    </w:p>
    <w:p>
      <w:pPr>
        <w:pStyle w:val="Heading2"/>
        <w:spacing w:after="120" w:before="240"/>
      </w:pPr>
      <w:r>
        <w:rPr>
          <w:rFonts w:ascii="Arial" w:cs="Arial" w:eastAsia="Arial" w:hAnsi="Arial"/>
          <w:b/>
          <w:bCs/>
          <w:color w:val="2E5BA8"/>
          <w:sz w:val="26"/>
          <w:szCs w:val="26"/>
        </w:rPr>
        <w:t xml:space="preserve">1.2 Problema</w:t>
      </w:r>
    </w:p>
    <w:p>
      <w:pPr>
        <w:spacing w:after="80" w:before="80"/>
        <w:jc w:val="both"/>
      </w:pPr>
      <w:r>
        <w:rPr>
          <w:rFonts w:ascii="Arial" w:cs="Arial" w:eastAsia="Arial" w:hAnsi="Arial"/>
          <w:color w:val="333333"/>
          <w:sz w:val="22"/>
          <w:szCs w:val="22"/>
        </w:rPr>
        <w:t xml:space="preserve">Las distribuidoras chilenas carecen de herramientas que adapten automáticamente el modelo de predicción de demanda al comportamiento específico de cada SKU, y que traduzcan esas predicciones en políticas de inventario con restricciones reales de proveedor. Como consecuencia, gestionan sus operaciones con información inexacta, asumiendo costos evitables de sobrestock y quiebre.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BF3FB" w:val="clear"/>
            <w:tcMar>
              <w:top w:type="dxa" w:w="140"/>
              <w:left w:type="dxa" w:w="200"/>
              <w:bottom w:type="dxa" w:w="140"/>
              <w:right w:type="dxa" w:w="200"/>
            </w:tcMar>
          </w:tcPr>
          <w:p>
            <w:pPr>
              <w:spacing w:after="80" w:before="0"/>
            </w:pPr>
            <w:r>
              <w:rPr>
                <w:rFonts w:ascii="Arial" w:cs="Arial" w:eastAsia="Arial" w:hAnsi="Arial"/>
                <w:b/>
                <w:bCs/>
                <w:color w:val="2E5BA8"/>
                <w:sz w:val="20"/>
                <w:szCs w:val="20"/>
              </w:rPr>
              <w:t xml:space="preserve">Problema central</w:t>
            </w:r>
          </w:p>
          <w:p>
            <w:pPr>
              <w:jc w:val="both"/>
            </w:pPr>
            <w:r>
              <w:rPr>
                <w:rFonts w:ascii="Arial" w:cs="Arial" w:eastAsia="Arial" w:hAnsi="Arial"/>
                <w:i w:val="false"/>
                <w:iCs w:val="false"/>
                <w:color w:val="1A1A2E"/>
                <w:sz w:val="22"/>
                <w:szCs w:val="22"/>
              </w:rPr>
              <w:t xml:space="preserve">¿Cómo puede un sistema de software automatizar la selección del modelo de forecasting más adecuado para cada SKU y traducir esas predicciones en políticas de reabastecimiento óptimas, considerando restricciones reales de proveedor, para reducir el error de predicción y el capital inmovilizado en inventario?</w:t>
            </w:r>
          </w:p>
        </w:tc>
      </w:tr>
    </w:tbl>
    <w:p>
      <w:pPr>
        <w:spacing w:after="60" w:before="60"/>
      </w:pPr>
      <w:r>
        <w:t xml:space="preserve"/>
      </w:r>
    </w:p>
    <w:p>
      <w:pPr>
        <w:pStyle w:val="Heading1"/>
        <w:spacing w:after="160" w:before="320"/>
      </w:pPr>
      <w:r>
        <w:rPr>
          <w:rFonts w:ascii="Arial" w:cs="Arial" w:eastAsia="Arial" w:hAnsi="Arial"/>
          <w:b/>
          <w:bCs/>
          <w:color w:val="1A1A2E"/>
          <w:sz w:val="32"/>
          <w:szCs w:val="32"/>
        </w:rPr>
        <w:t xml:space="preserve">2. Pregunta de investigación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BF3FB" w:val="clear"/>
            <w:tcMar>
              <w:top w:type="dxa" w:w="140"/>
              <w:left w:type="dxa" w:w="200"/>
              <w:bottom w:type="dxa" w:w="140"/>
              <w:right w:type="dxa" w:w="200"/>
            </w:tcMar>
          </w:tcPr>
          <w:p>
            <w:pPr>
              <w:spacing w:after="80" w:before="0"/>
            </w:pPr>
            <w:r>
              <w:rPr>
                <w:rFonts w:ascii="Arial" w:cs="Arial" w:eastAsia="Arial" w:hAnsi="Arial"/>
                <w:b/>
                <w:bCs/>
                <w:color w:val="2E5BA8"/>
                <w:sz w:val="20"/>
                <w:szCs w:val="20"/>
              </w:rPr>
              <w:t xml:space="preserve">Pregunta principal</w:t>
            </w:r>
          </w:p>
          <w:p>
            <w:pPr>
              <w:jc w:val="both"/>
            </w:pPr>
            <w:r>
              <w:rPr>
                <w:rFonts w:ascii="Arial" w:cs="Arial" w:eastAsia="Arial" w:hAnsi="Arial"/>
                <w:i w:val="false"/>
                <w:iCs w:val="false"/>
                <w:color w:val="1A1A2E"/>
                <w:sz w:val="22"/>
                <w:szCs w:val="22"/>
              </w:rPr>
              <w:t xml:space="preserve">¿En qué medida la selección automática del modelo de forecasting por SKU — frente a un modelo único aplicado de forma homogénea — reduce el error de predicción de demanda (MAPE) y el capital inmovilizado en inventario en distribuidoras chilenas?</w:t>
            </w:r>
          </w:p>
        </w:tc>
      </w:tr>
    </w:tbl>
    <w:p>
      <w:pPr>
        <w:spacing w:after="60" w:before="60"/>
      </w:pPr>
      <w:r>
        <w:t xml:space="preserve"/>
      </w:r>
    </w:p>
    <w:p>
      <w:pPr>
        <w:spacing w:after="80" w:before="200"/>
      </w:pPr>
      <w:r>
        <w:rPr>
          <w:rFonts w:ascii="Arial" w:cs="Arial" w:eastAsia="Arial" w:hAnsi="Arial"/>
          <w:b/>
          <w:bCs/>
          <w:color w:val="1A1A2E"/>
          <w:sz w:val="24"/>
          <w:szCs w:val="24"/>
        </w:rPr>
        <w:t xml:space="preserve">Preguntas secundarias</w:t>
      </w:r>
    </w:p>
    <w:p>
      <w:pPr>
        <w:pStyle w:val="ListParagraph"/>
        <w:numPr>
          <w:ilvl w:val="0"/>
          <w:numId w:val="2"/>
        </w:numPr>
        <w:spacing w:after="60" w:before="60"/>
      </w:pPr>
      <w:r>
        <w:rPr>
          <w:rFonts w:ascii="Arial" w:cs="Arial" w:eastAsia="Arial" w:hAnsi="Arial"/>
          <w:color w:val="333333"/>
          <w:sz w:val="22"/>
          <w:szCs w:val="22"/>
        </w:rPr>
        <w:t xml:space="preserve">¿Qué modelo de forecasting (ARIMA, Prophet, XGBoost o LSTM) presenta el menor error de predicción para distintas categorías de comportamiento de demanda?</w:t>
      </w:r>
    </w:p>
    <w:p>
      <w:pPr>
        <w:pStyle w:val="ListParagraph"/>
        <w:numPr>
          <w:ilvl w:val="0"/>
          <w:numId w:val="2"/>
        </w:numPr>
        <w:spacing w:after="60" w:before="60"/>
      </w:pPr>
      <w:r>
        <w:rPr>
          <w:rFonts w:ascii="Arial" w:cs="Arial" w:eastAsia="Arial" w:hAnsi="Arial"/>
          <w:color w:val="333333"/>
          <w:sz w:val="22"/>
          <w:szCs w:val="22"/>
        </w:rPr>
        <w:t xml:space="preserve">¿Qué política de inventario —EOQ clásico o modelo (s,S) dinámico— reduce en mayor medida el capital inmovilizado y la tasa de quiebre cuando se alimenta con predicciones de demanda variables?</w:t>
      </w:r>
    </w:p>
    <w:p>
      <w:pPr>
        <w:pStyle w:val="ListParagraph"/>
        <w:numPr>
          <w:ilvl w:val="0"/>
          <w:numId w:val="2"/>
        </w:numPr>
        <w:spacing w:after="60" w:before="60"/>
      </w:pPr>
      <w:r>
        <w:rPr>
          <w:rFonts w:ascii="Arial" w:cs="Arial" w:eastAsia="Arial" w:hAnsi="Arial"/>
          <w:color w:val="333333"/>
          <w:sz w:val="22"/>
          <w:szCs w:val="22"/>
        </w:rPr>
        <w:t xml:space="preserve">¿Es técnicamente viable desplegar este sistema como una plataforma web accesible para distribuidoras de mediano tamaño en Chile?</w:t>
      </w:r>
    </w:p>
    <w:p>
      <w:pPr>
        <w:spacing w:after="60" w:before="60"/>
      </w:pPr>
      <w:r>
        <w:t xml:space="preserve"/>
      </w:r>
    </w:p>
    <w:p>
      <w:pPr>
        <w:pStyle w:val="Heading1"/>
        <w:spacing w:after="160" w:before="320"/>
      </w:pPr>
      <w:r>
        <w:rPr>
          <w:rFonts w:ascii="Arial" w:cs="Arial" w:eastAsia="Arial" w:hAnsi="Arial"/>
          <w:b/>
          <w:bCs/>
          <w:color w:val="1A1A2E"/>
          <w:sz w:val="32"/>
          <w:szCs w:val="32"/>
        </w:rPr>
        <w:t xml:space="preserve">3. Hipótesis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5E9" w:val="clear"/>
            <w:tcMar>
              <w:top w:type="dxa" w:w="140"/>
              <w:left w:type="dxa" w:w="200"/>
              <w:bottom w:type="dxa" w:w="140"/>
              <w:right w:type="dxa" w:w="200"/>
            </w:tcMar>
          </w:tcPr>
          <w:p>
            <w:pPr>
              <w:spacing w:after="80" w:before="0"/>
            </w:pPr>
            <w:r>
              <w:rPr>
                <w:rFonts w:ascii="Arial" w:cs="Arial" w:eastAsia="Arial" w:hAnsi="Arial"/>
                <w:b/>
                <w:bCs/>
                <w:color w:val="2E5BA8"/>
                <w:sz w:val="20"/>
                <w:szCs w:val="20"/>
              </w:rPr>
              <w:t xml:space="preserve">Hipótesis principal</w:t>
            </w:r>
          </w:p>
          <w:p>
            <w:pPr>
              <w:jc w:val="both"/>
            </w:pPr>
            <w:r>
              <w:rPr>
                <w:rFonts w:ascii="Arial" w:cs="Arial" w:eastAsia="Arial" w:hAnsi="Arial"/>
                <w:i/>
                <w:iCs/>
                <w:color w:val="1A1A2E"/>
                <w:sz w:val="22"/>
                <w:szCs w:val="22"/>
              </w:rPr>
              <w:t xml:space="preserve">La selección automática del modelo de forecasting por SKU, basada en el error de validación de cada modelo sobre los datos históricos del producto, reduce el error de predicción agregado (MAPE promedio) y el capital inmovilizado en inventario en al menos un 15% respecto a un sistema que aplica un único modelo de forecasting a todos los SKUs.</w:t>
            </w:r>
          </w:p>
        </w:tc>
      </w:tr>
    </w:tbl>
    <w:p>
      <w:pPr>
        <w:spacing w:after="60" w:before="60"/>
      </w:pPr>
      <w:r>
        <w:t xml:space="preserve"/>
      </w:r>
    </w:p>
    <w:p>
      <w:pPr>
        <w:spacing w:after="80" w:before="200"/>
      </w:pPr>
      <w:r>
        <w:rPr>
          <w:rFonts w:ascii="Arial" w:cs="Arial" w:eastAsia="Arial" w:hAnsi="Arial"/>
          <w:b/>
          <w:bCs/>
          <w:color w:val="1A1A2E"/>
          <w:sz w:val="24"/>
          <w:szCs w:val="24"/>
        </w:rPr>
        <w:t xml:space="preserve">Hipótesis secundarias</w:t>
      </w:r>
    </w:p>
    <w:p>
      <w:pPr>
        <w:pStyle w:val="ListParagraph"/>
        <w:numPr>
          <w:ilvl w:val="0"/>
          <w:numId w:val="3"/>
        </w:numPr>
        <w:spacing w:after="60" w:before="60"/>
      </w:pPr>
      <w:r>
        <w:rPr>
          <w:rFonts w:ascii="Arial" w:cs="Arial" w:eastAsia="Arial" w:hAnsi="Arial"/>
          <w:color w:val="333333"/>
          <w:sz w:val="22"/>
          <w:szCs w:val="22"/>
        </w:rPr>
        <w:t xml:space="preserve">Para SKUs con patrones de demanda estacional fuerte, Prophet superará a ARIMA en precisión de predicción (menor MAPE).</w:t>
      </w:r>
    </w:p>
    <w:p>
      <w:pPr>
        <w:pStyle w:val="ListParagraph"/>
        <w:numPr>
          <w:ilvl w:val="0"/>
          <w:numId w:val="3"/>
        </w:numPr>
        <w:spacing w:after="60" w:before="60"/>
      </w:pPr>
      <w:r>
        <w:rPr>
          <w:rFonts w:ascii="Arial" w:cs="Arial" w:eastAsia="Arial" w:hAnsi="Arial"/>
          <w:color w:val="333333"/>
          <w:sz w:val="22"/>
          <w:szCs w:val="22"/>
        </w:rPr>
        <w:t xml:space="preserve">Para SKUs con demanda irregular y alta varianza, XGBoost o LSTM superarán a los modelos estadísticos clásicos.</w:t>
      </w:r>
    </w:p>
    <w:p>
      <w:pPr>
        <w:pStyle w:val="ListParagraph"/>
        <w:numPr>
          <w:ilvl w:val="0"/>
          <w:numId w:val="3"/>
        </w:numPr>
        <w:spacing w:after="60" w:before="60"/>
      </w:pPr>
      <w:r>
        <w:rPr>
          <w:rFonts w:ascii="Arial" w:cs="Arial" w:eastAsia="Arial" w:hAnsi="Arial"/>
          <w:color w:val="333333"/>
          <w:sz w:val="22"/>
          <w:szCs w:val="22"/>
        </w:rPr>
        <w:t xml:space="preserve">Una política de inventario (s,S) alimentada por predicciones de demanda variables reduce la tasa de quiebre de stock respecto a una política EOQ con demanda promedio fija.</w:t>
      </w:r>
    </w:p>
    <w:p>
      <w:pPr>
        <w:spacing w:after="60" w:before="60"/>
      </w:pPr>
      <w:r>
        <w:t xml:space="preserve"/>
      </w:r>
    </w:p>
    <w:p>
      <w:pPr>
        <w:pStyle w:val="Heading1"/>
        <w:spacing w:after="160" w:before="320"/>
      </w:pPr>
      <w:r>
        <w:rPr>
          <w:rFonts w:ascii="Arial" w:cs="Arial" w:eastAsia="Arial" w:hAnsi="Arial"/>
          <w:b/>
          <w:bCs/>
          <w:color w:val="1A1A2E"/>
          <w:sz w:val="32"/>
          <w:szCs w:val="32"/>
        </w:rPr>
        <w:t xml:space="preserve">4. Objetivos</w:t>
      </w:r>
    </w:p>
    <w:p>
      <w:pPr>
        <w:pStyle w:val="Heading2"/>
        <w:spacing w:after="120" w:before="240"/>
      </w:pPr>
      <w:r>
        <w:rPr>
          <w:rFonts w:ascii="Arial" w:cs="Arial" w:eastAsia="Arial" w:hAnsi="Arial"/>
          <w:b/>
          <w:bCs/>
          <w:color w:val="2E5BA8"/>
          <w:sz w:val="26"/>
          <w:szCs w:val="26"/>
        </w:rPr>
        <w:t xml:space="preserve">4.1 Objetivo general</w:t>
      </w:r>
    </w:p>
    <w:p>
      <w:pPr>
        <w:spacing w:after="80" w:before="80"/>
        <w:jc w:val="both"/>
      </w:pPr>
      <w:r>
        <w:rPr>
          <w:rFonts w:ascii="Arial" w:cs="Arial" w:eastAsia="Arial" w:hAnsi="Arial"/>
          <w:color w:val="333333"/>
          <w:sz w:val="22"/>
          <w:szCs w:val="22"/>
        </w:rPr>
        <w:t xml:space="preserve">Diseñar, implementar y evaluar una plataforma de software que automatice la selección del modelo de predicción de demanda más adecuado para cada SKU y genere políticas de reabastecimiento óptimas con restricciones reales de proveedor, contribuyendo a la reducción del error de predicción y del capital inmovilizado en inventario de distribuidoras chilenas.</w:t>
      </w:r>
    </w:p>
    <w:p>
      <w:pPr>
        <w:spacing w:after="60" w:before="60"/>
      </w:pPr>
      <w:r>
        <w:t xml:space="preserve"/>
      </w:r>
    </w:p>
    <w:p>
      <w:pPr>
        <w:pStyle w:val="Heading2"/>
        <w:spacing w:after="120" w:before="240"/>
      </w:pPr>
      <w:r>
        <w:rPr>
          <w:rFonts w:ascii="Arial" w:cs="Arial" w:eastAsia="Arial" w:hAnsi="Arial"/>
          <w:b/>
          <w:bCs/>
          <w:color w:val="2E5BA8"/>
          <w:sz w:val="26"/>
          <w:szCs w:val="26"/>
        </w:rPr>
        <w:t xml:space="preserve">4.2 Objetivos específicos</w:t>
      </w:r>
    </w:p>
    <w:p>
      <w:pPr>
        <w:pStyle w:val="ListParagraph"/>
        <w:numPr>
          <w:ilvl w:val="0"/>
          <w:numId w:val="3"/>
        </w:numPr>
        <w:spacing w:after="60" w:before="60"/>
      </w:pPr>
      <w:r>
        <w:rPr>
          <w:rFonts w:ascii="Arial" w:cs="Arial" w:eastAsia="Arial" w:hAnsi="Arial"/>
          <w:color w:val="333333"/>
          <w:sz w:val="22"/>
          <w:szCs w:val="22"/>
        </w:rPr>
        <w:t xml:space="preserve">Construir un pipeline ETL que ingeste, limpie y estructure datos históricos de ventas e inventario en una base de datos relacional (PostgreSQL), garantizando la calidad e integridad de los datos para el entrenamiento de modelos.</w:t>
      </w:r>
    </w:p>
    <w:p>
      <w:pPr>
        <w:pStyle w:val="ListParagraph"/>
        <w:numPr>
          <w:ilvl w:val="0"/>
          <w:numId w:val="3"/>
        </w:numPr>
        <w:spacing w:after="60" w:before="60"/>
      </w:pPr>
      <w:r>
        <w:rPr>
          <w:rFonts w:ascii="Arial" w:cs="Arial" w:eastAsia="Arial" w:hAnsi="Arial"/>
          <w:color w:val="333333"/>
          <w:sz w:val="22"/>
          <w:szCs w:val="22"/>
        </w:rPr>
        <w:t xml:space="preserve">Implementar y comparar cuatro modelos de predicción de demanda —ARIMA, Prophet, XGBoost y LSTM— evaluados mediante las métricas MAPE, RMSE y MAE sobre un conjunto de datos de validación representativo de distribuidoras chilenas.</w:t>
      </w:r>
    </w:p>
    <w:p>
      <w:pPr>
        <w:pStyle w:val="ListParagraph"/>
        <w:numPr>
          <w:ilvl w:val="0"/>
          <w:numId w:val="3"/>
        </w:numPr>
        <w:spacing w:after="60" w:before="60"/>
      </w:pPr>
      <w:r>
        <w:rPr>
          <w:rFonts w:ascii="Arial" w:cs="Arial" w:eastAsia="Arial" w:hAnsi="Arial"/>
          <w:color w:val="333333"/>
          <w:sz w:val="22"/>
          <w:szCs w:val="22"/>
        </w:rPr>
        <w:t xml:space="preserve">Diseñar e implementar un módulo de selección automática de modelo que, para cada SKU, elija el modelo de menor error de predicción en validación y lo aplique en la generación de pronósticos futuros.</w:t>
      </w:r>
    </w:p>
    <w:p>
      <w:pPr>
        <w:pStyle w:val="ListParagraph"/>
        <w:numPr>
          <w:ilvl w:val="0"/>
          <w:numId w:val="3"/>
        </w:numPr>
        <w:spacing w:after="60" w:before="60"/>
      </w:pPr>
      <w:r>
        <w:rPr>
          <w:rFonts w:ascii="Arial" w:cs="Arial" w:eastAsia="Arial" w:hAnsi="Arial"/>
          <w:color w:val="333333"/>
          <w:sz w:val="22"/>
          <w:szCs w:val="22"/>
        </w:rPr>
        <w:t xml:space="preserve">Implementar y comparar dos políticas de gestión de inventario —EOQ clásico y política (s,S)— con restricciones reales de proveedor (lead time, mínimo de compra), midiendo el impacto en capital inmovilizado y tasa de quiebre de stock.</w:t>
      </w:r>
    </w:p>
    <w:p>
      <w:pPr>
        <w:pStyle w:val="ListParagraph"/>
        <w:numPr>
          <w:ilvl w:val="0"/>
          <w:numId w:val="3"/>
        </w:numPr>
        <w:spacing w:after="60" w:before="60"/>
      </w:pPr>
      <w:r>
        <w:rPr>
          <w:rFonts w:ascii="Arial" w:cs="Arial" w:eastAsia="Arial" w:hAnsi="Arial"/>
          <w:color w:val="333333"/>
          <w:sz w:val="22"/>
          <w:szCs w:val="22"/>
        </w:rPr>
        <w:t xml:space="preserve">Desarrollar un dashboard web (React) que visualice en tiempo real el estado del inventario por SKU, las predicciones de demanda, las alertas de stock crítico y las órdenes de compra generadas automáticamente.</w:t>
      </w:r>
    </w:p>
    <w:p>
      <w:pPr>
        <w:pStyle w:val="ListParagraph"/>
        <w:numPr>
          <w:ilvl w:val="0"/>
          <w:numId w:val="3"/>
        </w:numPr>
        <w:spacing w:after="60" w:before="60"/>
      </w:pPr>
      <w:r>
        <w:rPr>
          <w:rFonts w:ascii="Arial" w:cs="Arial" w:eastAsia="Arial" w:hAnsi="Arial"/>
          <w:color w:val="333333"/>
          <w:sz w:val="22"/>
          <w:szCs w:val="22"/>
        </w:rPr>
        <w:t xml:space="preserve">Validar experimentalmente la hipótesis principal mediante un estudio comparativo entre el sistema propuesto y un baseline de modelo único, cuantificando la reducción en MAPE y capital inmovilizado.</w:t>
      </w:r>
    </w:p>
    <w:p>
      <w:pPr>
        <w:spacing w:after="60" w:before="60"/>
      </w:pPr>
      <w:r>
        <w:t xml:space="preserve"/>
      </w:r>
    </w:p>
    <w:p>
      <w:pPr>
        <w:pStyle w:val="Heading1"/>
        <w:spacing w:after="160" w:before="320"/>
      </w:pPr>
      <w:r>
        <w:rPr>
          <w:rFonts w:ascii="Arial" w:cs="Arial" w:eastAsia="Arial" w:hAnsi="Arial"/>
          <w:b/>
          <w:bCs/>
          <w:color w:val="1A1A2E"/>
          <w:sz w:val="32"/>
          <w:szCs w:val="32"/>
        </w:rPr>
        <w:t xml:space="preserve">5. Justificación</w:t>
      </w:r>
    </w:p>
    <w:p>
      <w:pPr>
        <w:pStyle w:val="Heading2"/>
        <w:spacing w:after="120" w:before="240"/>
      </w:pPr>
      <w:r>
        <w:rPr>
          <w:rFonts w:ascii="Arial" w:cs="Arial" w:eastAsia="Arial" w:hAnsi="Arial"/>
          <w:b/>
          <w:bCs/>
          <w:color w:val="2E5BA8"/>
          <w:sz w:val="26"/>
          <w:szCs w:val="26"/>
        </w:rPr>
        <w:t xml:space="preserve">5.1 Relevancia práctica</w:t>
      </w:r>
    </w:p>
    <w:p>
      <w:pPr>
        <w:spacing w:after="80" w:before="80"/>
        <w:jc w:val="both"/>
      </w:pPr>
      <w:r>
        <w:rPr>
          <w:rFonts w:ascii="Arial" w:cs="Arial" w:eastAsia="Arial" w:hAnsi="Arial"/>
          <w:color w:val="333333"/>
          <w:sz w:val="22"/>
          <w:szCs w:val="22"/>
        </w:rPr>
        <w:t xml:space="preserve">Chile cuenta con más de 950.000 empresas de menor tamaño, de las cuales un porcentaje significativo corresponde a distribuidoras de productos de consumo masivo, ferretería, alimentos y materiales. La gran mayoría de estos negocios opera sin herramientas especializadas de planificación de demanda, lo que se traduce en ineficiencias operacionales directamente medibles en términos de capital inmovilizado y pérdida de ventas por quiebre de stock.</w:t>
      </w:r>
    </w:p>
    <w:p>
      <w:pPr>
        <w:spacing w:after="60" w:before="60"/>
      </w:pPr>
      <w:r>
        <w:t xml:space="preserve"/>
      </w:r>
    </w:p>
    <w:p>
      <w:pPr>
        <w:pStyle w:val="Heading2"/>
        <w:spacing w:after="120" w:before="240"/>
      </w:pPr>
      <w:r>
        <w:rPr>
          <w:rFonts w:ascii="Arial" w:cs="Arial" w:eastAsia="Arial" w:hAnsi="Arial"/>
          <w:b/>
          <w:bCs/>
          <w:color w:val="2E5BA8"/>
          <w:sz w:val="26"/>
          <w:szCs w:val="26"/>
        </w:rPr>
        <w:t xml:space="preserve">5.2 Relevancia académica</w:t>
      </w:r>
    </w:p>
    <w:p>
      <w:pPr>
        <w:spacing w:after="80" w:before="80"/>
        <w:jc w:val="both"/>
      </w:pPr>
      <w:r>
        <w:rPr>
          <w:rFonts w:ascii="Arial" w:cs="Arial" w:eastAsia="Arial" w:hAnsi="Arial"/>
          <w:color w:val="333333"/>
          <w:sz w:val="22"/>
          <w:szCs w:val="22"/>
        </w:rPr>
        <w:t xml:space="preserve">La literatura sobre forecasting de demanda aplicado a inventario es extensa en contextos anglosajones y asiáticos, pero escasa en el contexto latinoamericano, donde los patrones de consumo, la estacionalidad de eventos comerciales (CyberDay, Fiestas Patrias) y las restricciones de proveedores presentan características específicas. Este trabajo contribuye a llenar ese vacío con un estudio experimental sobre datos representativos del mercado chileno.</w:t>
      </w:r>
    </w:p>
    <w:p>
      <w:pPr>
        <w:spacing w:after="60" w:before="60"/>
      </w:pPr>
      <w:r>
        <w:t xml:space="preserve"/>
      </w:r>
    </w:p>
    <w:p>
      <w:pPr>
        <w:spacing w:after="80" w:before="80"/>
        <w:jc w:val="both"/>
      </w:pPr>
      <w:r>
        <w:rPr>
          <w:rFonts w:ascii="Arial" w:cs="Arial" w:eastAsia="Arial" w:hAnsi="Arial"/>
          <w:color w:val="333333"/>
          <w:sz w:val="22"/>
          <w:szCs w:val="22"/>
        </w:rPr>
        <w:t xml:space="preserve">Adicionalmente, la comparación sistemática de cuatro arquitecturas de forecasting bajo condiciones de selección automática por producto no ha sido documentada en la literatura latinoamericana reciente, lo que constituye el aporte original de esta investigación.</w:t>
      </w:r>
    </w:p>
    <w:p>
      <w:pPr>
        <w:spacing w:after="60" w:before="60"/>
      </w:pPr>
      <w:r>
        <w:t xml:space="preserve"/>
      </w:r>
    </w:p>
    <w:p>
      <w:pPr>
        <w:pStyle w:val="Heading1"/>
        <w:spacing w:after="160" w:before="320"/>
      </w:pPr>
      <w:r>
        <w:rPr>
          <w:rFonts w:ascii="Arial" w:cs="Arial" w:eastAsia="Arial" w:hAnsi="Arial"/>
          <w:b/>
          <w:bCs/>
          <w:color w:val="1A1A2E"/>
          <w:sz w:val="32"/>
          <w:szCs w:val="32"/>
        </w:rPr>
        <w:t xml:space="preserve">6. Alcance y limitaciones</w:t>
      </w:r>
    </w:p>
    <w:p>
      <w:pPr>
        <w:pStyle w:val="Heading2"/>
        <w:spacing w:after="120" w:before="240"/>
      </w:pPr>
      <w:r>
        <w:rPr>
          <w:rFonts w:ascii="Arial" w:cs="Arial" w:eastAsia="Arial" w:hAnsi="Arial"/>
          <w:b/>
          <w:bCs/>
          <w:color w:val="2E5BA8"/>
          <w:sz w:val="26"/>
          <w:szCs w:val="26"/>
        </w:rPr>
        <w:t xml:space="preserve">6.1 Alcance</w:t>
      </w:r>
    </w:p>
    <w:p>
      <w:pPr>
        <w:pStyle w:val="ListParagraph"/>
        <w:numPr>
          <w:ilvl w:val="0"/>
          <w:numId w:val="2"/>
        </w:numPr>
        <w:spacing w:after="60" w:before="60"/>
      </w:pPr>
      <w:r>
        <w:rPr>
          <w:rFonts w:ascii="Arial" w:cs="Arial" w:eastAsia="Arial" w:hAnsi="Arial"/>
          <w:color w:val="333333"/>
          <w:sz w:val="22"/>
          <w:szCs w:val="22"/>
        </w:rPr>
        <w:t xml:space="preserve">El sistema se diseña para distribuidoras con catálogos de entre 50 y 5.000 SKUs activos.</w:t>
      </w:r>
    </w:p>
    <w:p>
      <w:pPr>
        <w:pStyle w:val="ListParagraph"/>
        <w:numPr>
          <w:ilvl w:val="0"/>
          <w:numId w:val="2"/>
        </w:numPr>
        <w:spacing w:after="60" w:before="60"/>
      </w:pPr>
      <w:r>
        <w:rPr>
          <w:rFonts w:ascii="Arial" w:cs="Arial" w:eastAsia="Arial" w:hAnsi="Arial"/>
          <w:color w:val="333333"/>
          <w:sz w:val="22"/>
          <w:szCs w:val="22"/>
        </w:rPr>
        <w:t xml:space="preserve">Se trabajará con un dataset público de referencia (Kaggle: Store Sales Time Series Forecasting) más datos sintéticos generados para simular condiciones del mercado chileno.</w:t>
      </w:r>
    </w:p>
    <w:p>
      <w:pPr>
        <w:pStyle w:val="ListParagraph"/>
        <w:numPr>
          <w:ilvl w:val="0"/>
          <w:numId w:val="2"/>
        </w:numPr>
        <w:spacing w:after="60" w:before="60"/>
      </w:pPr>
      <w:r>
        <w:rPr>
          <w:rFonts w:ascii="Arial" w:cs="Arial" w:eastAsia="Arial" w:hAnsi="Arial"/>
          <w:color w:val="333333"/>
          <w:sz w:val="22"/>
          <w:szCs w:val="22"/>
        </w:rPr>
        <w:t xml:space="preserve">El sistema incluirá una interfaz web funcional (no solo un prototipo) con autenticación y despliegue en GCP.</w:t>
      </w:r>
    </w:p>
    <w:p>
      <w:pPr>
        <w:pStyle w:val="ListParagraph"/>
        <w:numPr>
          <w:ilvl w:val="0"/>
          <w:numId w:val="2"/>
        </w:numPr>
        <w:spacing w:after="60" w:before="60"/>
      </w:pPr>
      <w:r>
        <w:rPr>
          <w:rFonts w:ascii="Arial" w:cs="Arial" w:eastAsia="Arial" w:hAnsi="Arial"/>
          <w:color w:val="333333"/>
          <w:sz w:val="22"/>
          <w:szCs w:val="22"/>
        </w:rPr>
        <w:t xml:space="preserve">El horizonte de predicción evaluado será de 7, 14 y 30 días.</w:t>
      </w:r>
    </w:p>
    <w:p>
      <w:pPr>
        <w:spacing w:after="60" w:before="60"/>
      </w:pPr>
      <w:r>
        <w:t xml:space="preserve"/>
      </w:r>
    </w:p>
    <w:p>
      <w:pPr>
        <w:pStyle w:val="Heading2"/>
        <w:spacing w:after="120" w:before="240"/>
      </w:pPr>
      <w:r>
        <w:rPr>
          <w:rFonts w:ascii="Arial" w:cs="Arial" w:eastAsia="Arial" w:hAnsi="Arial"/>
          <w:b/>
          <w:bCs/>
          <w:color w:val="2E5BA8"/>
          <w:sz w:val="26"/>
          <w:szCs w:val="26"/>
        </w:rPr>
        <w:t xml:space="preserve">6.2 Limitaciones</w:t>
      </w:r>
    </w:p>
    <w:p>
      <w:pPr>
        <w:pStyle w:val="ListParagraph"/>
        <w:numPr>
          <w:ilvl w:val="0"/>
          <w:numId w:val="2"/>
        </w:numPr>
        <w:spacing w:after="60" w:before="60"/>
      </w:pPr>
      <w:r>
        <w:rPr>
          <w:rFonts w:ascii="Arial" w:cs="Arial" w:eastAsia="Arial" w:hAnsi="Arial"/>
          <w:color w:val="333333"/>
          <w:sz w:val="22"/>
          <w:szCs w:val="22"/>
        </w:rPr>
        <w:t xml:space="preserve">No se abordarán problemas de optimización de red de distribución (ruteo) ni gestión de múltiples bodegas simultáneas.</w:t>
      </w:r>
    </w:p>
    <w:p>
      <w:pPr>
        <w:pStyle w:val="ListParagraph"/>
        <w:numPr>
          <w:ilvl w:val="0"/>
          <w:numId w:val="2"/>
        </w:numPr>
        <w:spacing w:after="60" w:before="60"/>
      </w:pPr>
      <w:r>
        <w:rPr>
          <w:rFonts w:ascii="Arial" w:cs="Arial" w:eastAsia="Arial" w:hAnsi="Arial"/>
          <w:color w:val="333333"/>
          <w:sz w:val="22"/>
          <w:szCs w:val="22"/>
        </w:rPr>
        <w:t xml:space="preserve">La integración con sistemas ERP externos (SAP, Oracle) queda fuera del alcance de esta tesis.</w:t>
      </w:r>
    </w:p>
    <w:p>
      <w:pPr>
        <w:pStyle w:val="ListParagraph"/>
        <w:numPr>
          <w:ilvl w:val="0"/>
          <w:numId w:val="2"/>
        </w:numPr>
        <w:spacing w:after="60" w:before="60"/>
      </w:pPr>
      <w:r>
        <w:rPr>
          <w:rFonts w:ascii="Arial" w:cs="Arial" w:eastAsia="Arial" w:hAnsi="Arial"/>
          <w:color w:val="333333"/>
          <w:sz w:val="22"/>
          <w:szCs w:val="22"/>
        </w:rPr>
        <w:t xml:space="preserve">Los resultados experimentales estarán acotados al dataset utilizado; la generalización a otros rubros requerirá validación adicional.</w:t>
      </w:r>
    </w:p>
    <w:p>
      <w:pPr>
        <w:spacing w:after="60" w:before="60"/>
      </w:pPr>
      <w:r>
        <w:t xml:space="preserve"/>
      </w:r>
    </w:p>
    <w:p>
      <w:pPr>
        <w:pStyle w:val="Heading1"/>
        <w:spacing w:after="160" w:before="320"/>
      </w:pPr>
      <w:r>
        <w:rPr>
          <w:rFonts w:ascii="Arial" w:cs="Arial" w:eastAsia="Arial" w:hAnsi="Arial"/>
          <w:b/>
          <w:bCs/>
          <w:color w:val="1A1A2E"/>
          <w:sz w:val="32"/>
          <w:szCs w:val="32"/>
        </w:rPr>
        <w:t xml:space="preserve">7. Metodología general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6"/>
        <w:gridCol w:w="6320"/>
      </w:tblGrid>
      <w:tr>
        <w:trPr>
          <w:tblHeader/>
        </w:trPr>
        <w:tc>
          <w:tcPr>
            <w:tcW w:type="dxa" w:w="2706"/>
            <w:tcBorders>
              <w:top w:val="single" w:color="CCCCCC" w:sz="1"/>
              <w:left w:val="single" w:color="CCCCCC" w:sz="1"/>
              <w:bottom w:val="single" w:color="CCCCCC" w:sz="1"/>
              <w:right w:val="single" w:color="CCCCCC" w:sz="1"/>
            </w:tcBorders>
            <w:shd w:fill="2E5BA8" w:val="clear"/>
            <w:tcMar>
              <w:top w:type="dxa" w:w="80"/>
              <w:left w:type="dxa" w:w="120"/>
              <w:bottom w:type="dxa" w:w="80"/>
              <w:right w:type="dxa" w:w="120"/>
            </w:tcMar>
          </w:tcPr>
          <w:p>
            <w:r>
              <w:rPr>
                <w:rFonts w:ascii="Arial" w:cs="Arial" w:eastAsia="Arial" w:hAnsi="Arial"/>
                <w:b/>
                <w:bCs/>
                <w:color w:val="FFFFFF"/>
                <w:sz w:val="20"/>
                <w:szCs w:val="20"/>
              </w:rPr>
              <w:t xml:space="preserve">Aspecto</w:t>
            </w:r>
          </w:p>
        </w:tc>
        <w:tc>
          <w:tcPr>
            <w:tcW w:type="dxa" w:w="6320"/>
            <w:tcBorders>
              <w:top w:val="single" w:color="CCCCCC" w:sz="1"/>
              <w:left w:val="single" w:color="CCCCCC" w:sz="1"/>
              <w:bottom w:val="single" w:color="CCCCCC" w:sz="1"/>
              <w:right w:val="single" w:color="CCCCCC" w:sz="1"/>
            </w:tcBorders>
            <w:shd w:fill="2E5BA8"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rPr>
          <w:tblHeader w:val="false"/>
        </w:trPr>
        <w:tc>
          <w:tcPr>
            <w:tcW w:type="dxa" w:w="2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Enfoque</w:t>
            </w:r>
          </w:p>
        </w:tc>
        <w:tc>
          <w:tcPr>
            <w:tcW w:type="dxa" w:w="6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Investigación aplicada con componente experimental cuantitativo</w:t>
            </w:r>
          </w:p>
        </w:tc>
      </w:tr>
      <w:tr>
        <w:trPr>
          <w:tblHeader w:val="false"/>
        </w:trPr>
        <w:tc>
          <w:tcPr>
            <w:tcW w:type="dxa" w:w="2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Diseño</w:t>
            </w:r>
          </w:p>
        </w:tc>
        <w:tc>
          <w:tcPr>
            <w:tcW w:type="dxa" w:w="6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Diseño experimental comparativo: sistema propuesto vs. baseline de modelo único</w:t>
            </w:r>
          </w:p>
        </w:tc>
      </w:tr>
      <w:tr>
        <w:trPr>
          <w:tblHeader w:val="false"/>
        </w:trPr>
        <w:tc>
          <w:tcPr>
            <w:tcW w:type="dxa" w:w="2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Datos</w:t>
            </w:r>
          </w:p>
        </w:tc>
        <w:tc>
          <w:tcPr>
            <w:tcW w:type="dxa" w:w="6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Dataset público Kaggle (Store Sales Forecasting) + generación sintética para parámetros chilenos</w:t>
            </w:r>
          </w:p>
        </w:tc>
      </w:tr>
      <w:tr>
        <w:trPr>
          <w:tblHeader w:val="false"/>
        </w:trPr>
        <w:tc>
          <w:tcPr>
            <w:tcW w:type="dxa" w:w="2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Métricas de evaluación</w:t>
            </w:r>
          </w:p>
        </w:tc>
        <w:tc>
          <w:tcPr>
            <w:tcW w:type="dxa" w:w="6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MAPE, RMSE, MAE (forecasting) — Capital inmovilizado, tasa de quiebre, rotación (inventario)</w:t>
            </w:r>
          </w:p>
        </w:tc>
      </w:tr>
      <w:tr>
        <w:trPr>
          <w:tblHeader w:val="false"/>
        </w:trPr>
        <w:tc>
          <w:tcPr>
            <w:tcW w:type="dxa" w:w="2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Validación</w:t>
            </w:r>
          </w:p>
        </w:tc>
        <w:tc>
          <w:tcPr>
            <w:tcW w:type="dxa" w:w="6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Train/validation/test split temporal — walk-forward validation por SKU</w:t>
            </w:r>
          </w:p>
        </w:tc>
      </w:tr>
      <w:tr>
        <w:trPr>
          <w:tblHeader w:val="false"/>
        </w:trPr>
        <w:tc>
          <w:tcPr>
            <w:tcW w:type="dxa" w:w="2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Stack tecnológico</w:t>
            </w:r>
          </w:p>
        </w:tc>
        <w:tc>
          <w:tcPr>
            <w:tcW w:type="dxa" w:w="6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Python, FastAPI, PostgreSQL, React, Prophet, scikit-learn, PyTorch, GCP</w:t>
            </w:r>
          </w:p>
        </w:tc>
      </w:tr>
      <w:tr>
        <w:trPr>
          <w:tblHeader w:val="false"/>
        </w:trPr>
        <w:tc>
          <w:tcPr>
            <w:tcW w:type="dxa" w:w="2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Entrega</w:t>
            </w:r>
          </w:p>
        </w:tc>
        <w:tc>
          <w:tcPr>
            <w:tcW w:type="dxa" w:w="6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Software funcional desplegado + documento de tesis en formato UNAB</w:t>
            </w:r>
          </w:p>
        </w:tc>
      </w:tr>
    </w:tbl>
    <w:p>
      <w:pPr>
        <w:spacing w:after="60" w:before="60"/>
      </w:pPr>
      <w:r>
        <w:t xml:space="preserve"/>
      </w:r>
    </w:p>
    <w:p>
      <w:pPr>
        <w:pStyle w:val="Heading1"/>
        <w:spacing w:after="160" w:before="320"/>
      </w:pPr>
      <w:r>
        <w:rPr>
          <w:rFonts w:ascii="Arial" w:cs="Arial" w:eastAsia="Arial" w:hAnsi="Arial"/>
          <w:b/>
          <w:bCs/>
          <w:color w:val="1A1A2E"/>
          <w:sz w:val="32"/>
          <w:szCs w:val="32"/>
        </w:rPr>
        <w:t xml:space="preserve">8. Stack tecnológico propuesto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6"/>
        <w:gridCol w:w="3160"/>
        <w:gridCol w:w="3160"/>
      </w:tblGrid>
      <w:tr>
        <w:trPr>
          <w:tblHeader/>
        </w:trPr>
        <w:tc>
          <w:tcPr>
            <w:tcW w:type="dxa" w:w="2706"/>
            <w:tcBorders>
              <w:top w:val="single" w:color="CCCCCC" w:sz="1"/>
              <w:left w:val="single" w:color="CCCCCC" w:sz="1"/>
              <w:bottom w:val="single" w:color="CCCCCC" w:sz="1"/>
              <w:right w:val="single" w:color="CCCCCC" w:sz="1"/>
            </w:tcBorders>
            <w:shd w:fill="2E5BA8" w:val="clear"/>
            <w:tcMar>
              <w:top w:type="dxa" w:w="80"/>
              <w:left w:type="dxa" w:w="120"/>
              <w:bottom w:type="dxa" w:w="80"/>
              <w:right w:type="dxa" w:w="120"/>
            </w:tcMar>
          </w:tcPr>
          <w:p>
            <w:r>
              <w:rPr>
                <w:rFonts w:ascii="Arial" w:cs="Arial" w:eastAsia="Arial" w:hAnsi="Arial"/>
                <w:b/>
                <w:bCs/>
                <w:color w:val="FFFFFF"/>
                <w:sz w:val="20"/>
                <w:szCs w:val="20"/>
              </w:rPr>
              <w:t xml:space="preserve">Capa</w:t>
            </w:r>
          </w:p>
        </w:tc>
        <w:tc>
          <w:tcPr>
            <w:tcW w:type="dxa" w:w="3160"/>
            <w:tcBorders>
              <w:top w:val="single" w:color="CCCCCC" w:sz="1"/>
              <w:left w:val="single" w:color="CCCCCC" w:sz="1"/>
              <w:bottom w:val="single" w:color="CCCCCC" w:sz="1"/>
              <w:right w:val="single" w:color="CCCCCC" w:sz="1"/>
            </w:tcBorders>
            <w:shd w:fill="2E5BA8" w:val="clear"/>
            <w:tcMar>
              <w:top w:type="dxa" w:w="80"/>
              <w:left w:type="dxa" w:w="120"/>
              <w:bottom w:type="dxa" w:w="80"/>
              <w:right w:type="dxa" w:w="120"/>
            </w:tcMar>
          </w:tcPr>
          <w:p>
            <w:r>
              <w:rPr>
                <w:rFonts w:ascii="Arial" w:cs="Arial" w:eastAsia="Arial" w:hAnsi="Arial"/>
                <w:b/>
                <w:bCs/>
                <w:color w:val="FFFFFF"/>
                <w:sz w:val="20"/>
                <w:szCs w:val="20"/>
              </w:rPr>
              <w:t xml:space="preserve">Tecnología</w:t>
            </w:r>
          </w:p>
        </w:tc>
        <w:tc>
          <w:tcPr>
            <w:tcW w:type="dxa" w:w="3160"/>
            <w:tcBorders>
              <w:top w:val="single" w:color="CCCCCC" w:sz="1"/>
              <w:left w:val="single" w:color="CCCCCC" w:sz="1"/>
              <w:bottom w:val="single" w:color="CCCCCC" w:sz="1"/>
              <w:right w:val="single" w:color="CCCCCC" w:sz="1"/>
            </w:tcBorders>
            <w:shd w:fill="2E5BA8" w:val="clear"/>
            <w:tcMar>
              <w:top w:type="dxa" w:w="80"/>
              <w:left w:type="dxa" w:w="120"/>
              <w:bottom w:type="dxa" w:w="80"/>
              <w:right w:type="dxa" w:w="120"/>
            </w:tcMar>
          </w:tcPr>
          <w:p>
            <w:r>
              <w:rPr>
                <w:rFonts w:ascii="Arial" w:cs="Arial" w:eastAsia="Arial" w:hAnsi="Arial"/>
                <w:b/>
                <w:bCs/>
                <w:color w:val="FFFFFF"/>
                <w:sz w:val="20"/>
                <w:szCs w:val="20"/>
              </w:rPr>
              <w:t xml:space="preserve">Responsable</w:t>
            </w:r>
          </w:p>
        </w:tc>
      </w:tr>
      <w:tr>
        <w:tc>
          <w:tcPr>
            <w:tcW w:type="dxa" w:w="2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Modelos de forecasting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Python, Prophet, ARIMA (statsmodels), XGBoost, PyTorch (LSTM)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Integrante 1</w:t>
            </w:r>
          </w:p>
        </w:tc>
      </w:tr>
      <w:tr>
        <w:tc>
          <w:tcPr>
            <w:tcW w:type="dxa" w:w="2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Optimización de inventario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Python, PuLP / scipy.optimize, modelo EOQ y (s,S)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Integrante 2</w:t>
            </w:r>
          </w:p>
        </w:tc>
      </w:tr>
      <w:tr>
        <w:tc>
          <w:tcPr>
            <w:tcW w:type="dxa" w:w="2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ETL y base de datos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Python, pandas, SQLAlchemy, PostgreSQL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Integrante 3</w:t>
            </w:r>
          </w:p>
        </w:tc>
      </w:tr>
      <w:tr>
        <w:tc>
          <w:tcPr>
            <w:tcW w:type="dxa" w:w="2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 backend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FastAPI, Pydantic, GCP Cloud Run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Integrante 3</w:t>
            </w:r>
          </w:p>
        </w:tc>
      </w:tr>
      <w:tr>
        <w:tc>
          <w:tcPr>
            <w:tcW w:type="dxa" w:w="2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Frontend dashboard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React, Vite, Recharts, Tailwind CSS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Integrante 3</w:t>
            </w:r>
          </w:p>
        </w:tc>
      </w:tr>
      <w:tr>
        <w:tc>
          <w:tcPr>
            <w:tcW w:type="dxa" w:w="2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Infraestructura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GCP (Cloud Run, Cloud Storage, BigQuery), Docker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Integrante 3</w:t>
            </w:r>
          </w:p>
        </w:tc>
      </w:tr>
    </w:tbl>
    <w:p>
      <w:pPr>
        <w:spacing w:after="60" w:before="60"/>
      </w:pPr>
      <w:r>
        <w:t xml:space="preserve"/>
      </w:r>
    </w:p>
    <w:p>
      <w:pPr>
        <w:spacing w:after="60" w:before="60"/>
      </w:pPr>
      <w:r>
        <w:t xml:space="preserve"/>
      </w:r>
    </w:p>
    <w:p>
      <w:pPr>
        <w:pBdr>
          <w:top w:val="single" w:color="CCCCCC" w:sz="4" w:space="8"/>
        </w:pBdr>
        <w:spacing w:after="80" w:before="320"/>
      </w:pPr>
      <w:r>
        <w:rPr>
          <w:rFonts w:ascii="Arial" w:cs="Arial" w:eastAsia="Arial" w:hAnsi="Arial"/>
          <w:i/>
          <w:iCs/>
          <w:color w:val="888888"/>
          <w:sz w:val="18"/>
          <w:szCs w:val="18"/>
        </w:rPr>
        <w:t xml:space="preserve">Documento preparado para presentación al profesor guía — Mayo 2025</w:t>
      </w:r>
    </w:p>
    <w:sectPr>
      <w:footerReference w:type="default" r:id="rId7"/>
      <w:pgSz w:w="11906" w:h="16838" w:orient="portrait"/>
      <w:pgMar w:top="1440" w:right="144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Tesis de Grado — UNAB  |  Página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2026-04-28T00:55:02.383Z</dcterms:created>
  <dcterms:modified xsi:type="dcterms:W3CDTF">2026-04-28T00:55:02.385Z</dcterms:modified>
</cp:coreProperties>
</file>

<file path=docProps/custom.xml><?xml version="1.0" encoding="utf-8"?>
<Properties xmlns="http://schemas.openxmlformats.org/officeDocument/2006/custom-properties" xmlns:vt="http://schemas.openxmlformats.org/officeDocument/2006/docPropsVTypes"/>
</file>