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rPr>
          <w:rFonts w:ascii="Arial" w:cs="Arial" w:eastAsia="Arial" w:hAnsi="Arial"/>
          <w:b/>
          <w:bCs/>
          <w:color w:val="1A1A2E"/>
          <w:sz w:val="28"/>
          <w:szCs w:val="28"/>
        </w:rPr>
        <w:t xml:space="preserve">UNIVERSIDAD ANDRÉS BELLO</w:t>
      </w:r>
    </w:p>
    <w:p>
      <w:pPr>
        <w:spacing w:after="80" w:before="0"/>
        <w:jc w:val="center"/>
      </w:pPr>
      <w:r>
        <w:rPr>
          <w:rFonts w:ascii="Arial" w:cs="Arial" w:eastAsia="Arial" w:hAnsi="Arial"/>
          <w:color w:val="666666"/>
          <w:sz w:val="22"/>
          <w:szCs w:val="22"/>
        </w:rPr>
        <w:t xml:space="preserve">Ingeniería Civil en Informática — Proyecto de Tesis</w:t>
      </w:r>
    </w:p>
    <w:p>
      <w:pPr>
        <w:spacing w:after="60" w:before="60"/>
      </w:pPr>
      <w:r>
        <w:t xml:space="preserve"/>
      </w:r>
    </w:p>
    <w:p>
      <w:pPr>
        <w:pBdr>
          <w:bottom w:val="single" w:color="2E5BA8" w:sz="6" w:space="8"/>
        </w:pBdr>
        <w:spacing w:after="300" w:before="300"/>
        <w:jc w:val="center"/>
      </w:pPr>
      <w:r>
        <w:rPr>
          <w:rFonts w:ascii="Arial" w:cs="Arial" w:eastAsia="Arial" w:hAnsi="Arial"/>
          <w:b/>
          <w:bCs/>
          <w:color w:val="1A1A2E"/>
          <w:sz w:val="40"/>
          <w:szCs w:val="40"/>
        </w:rPr>
        <w:t xml:space="preserve">Marco Teórico — Modelos de Predicción de Demanda</w:t>
      </w:r>
    </w:p>
    <w:p>
      <w:pPr>
        <w:spacing w:after="60" w:before="200"/>
        <w:jc w:val="center"/>
      </w:pPr>
      <w:r>
        <w:rPr>
          <w:rFonts w:ascii="Arial" w:cs="Arial" w:eastAsia="Arial" w:hAnsi="Arial"/>
          <w:b/>
          <w:bCs/>
          <w:color w:val="2E5BA8"/>
          <w:sz w:val="24"/>
          <w:szCs w:val="24"/>
        </w:rPr>
        <w:t xml:space="preserve">Plataforma de Predicción de Demanda y Reabastecimiento Automático para Distribuidoras</w:t>
      </w:r>
    </w:p>
    <w:p>
      <w:pPr>
        <w:spacing w:after="60" w:before="60"/>
        <w:jc w:val="center"/>
      </w:pPr>
      <w:r>
        <w:rPr>
          <w:rFonts w:ascii="Arial" w:cs="Arial" w:eastAsia="Arial" w:hAnsi="Arial"/>
          <w:color w:val="888888"/>
          <w:sz w:val="20"/>
          <w:szCs w:val="20"/>
        </w:rPr>
        <w:t xml:space="preserve">Mayo 2025  —  Fase 2 · Responsable: Integrante 1</w:t>
      </w:r>
    </w:p>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A1A2E"/>
          <w:sz w:val="32"/>
          <w:szCs w:val="32"/>
        </w:rPr>
        <w:t xml:space="preserve">2. Marco teórico</w:t>
      </w:r>
    </w:p>
    <w:p>
      <w:pPr>
        <w:pStyle w:val="Heading2"/>
        <w:spacing w:after="120" w:before="280"/>
      </w:pPr>
      <w:r>
        <w:rPr>
          <w:rFonts w:ascii="Arial" w:cs="Arial" w:eastAsia="Arial" w:hAnsi="Arial"/>
          <w:b/>
          <w:bCs/>
          <w:color w:val="2E5BA8"/>
          <w:sz w:val="26"/>
          <w:szCs w:val="26"/>
        </w:rPr>
        <w:t xml:space="preserve">2.1 Introducción al forecasting de demanda</w:t>
      </w:r>
    </w:p>
    <w:p>
      <w:pPr>
        <w:spacing w:after="80" w:before="80"/>
        <w:jc w:val="both"/>
      </w:pPr>
      <w:r>
        <w:rPr>
          <w:rFonts w:ascii="Arial" w:cs="Arial" w:eastAsia="Arial" w:hAnsi="Arial"/>
          <w:color w:val="333333"/>
          <w:sz w:val="22"/>
          <w:szCs w:val="22"/>
        </w:rPr>
        <w:t xml:space="preserve">La predicción de demanda —también denominada forecasting— constituye el proceso mediante el cual una organización estima el comportamiento futuro de la demanda de sus productos o servicios, con base en datos históricos y, opcionalmente, variables externas. En el contexto de la gestión de inventario, el forecasting ocupa un rol central: la precisión del pronóstico determina directamente la eficacia de las políticas de reabastecimiento, el nivel de capital inmovilizado en stock y la tasa de quiebre de inventario.</w:t>
      </w:r>
    </w:p>
    <w:p>
      <w:pPr>
        <w:spacing w:after="60" w:before="60"/>
      </w:pPr>
      <w:r>
        <w:t xml:space="preserve"/>
      </w:r>
    </w:p>
    <w:p>
      <w:pPr>
        <w:spacing w:after="80" w:before="80"/>
        <w:jc w:val="both"/>
      </w:pPr>
      <w:r>
        <w:rPr>
          <w:rFonts w:ascii="Arial" w:cs="Arial" w:eastAsia="Arial" w:hAnsi="Arial"/>
          <w:color w:val="333333"/>
          <w:sz w:val="22"/>
          <w:szCs w:val="22"/>
        </w:rPr>
        <w:t xml:space="preserve">La literatura distingue dos grandes familias de métodos de forecasting: los modelos estadísticos clásicos —basados en supuestos paramétricos sobre la distribución de los datos— y los modelos de aprendizaje automático (machine learning), que aprenden patrones directamente desde los datos sin imponer estructuras funcionales rígidas. Esta tesis compara representantes de ambas familias: ARIMA y Prophet como modelos estadísticos, y XGBoost y LSTM como modelos de machine learning.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0"/>
                <w:szCs w:val="20"/>
              </w:rPr>
              <w:t xml:space="preserve">Relevancia para la hipótesis de investigación</w:t>
            </w:r>
          </w:p>
          <w:p>
            <w:pPr>
              <w:jc w:val="both"/>
            </w:pPr>
            <w:r>
              <w:rPr>
                <w:rFonts w:ascii="Arial" w:cs="Arial" w:eastAsia="Arial" w:hAnsi="Arial"/>
                <w:color w:val="1A1A2E"/>
                <w:sz w:val="21"/>
                <w:szCs w:val="21"/>
              </w:rPr>
              <w:t xml:space="preserve">Ninguno de estos modelos es universalmente superior para todos los tipos de demanda. Los estudios recientes muestran que ARIMA supera en patrones lineales estables (MAPE 3.2–13.6%), LSTM captura no-linealidades complejas, XGBoost es óptimo con variables externas, y Prophet maneja estacionalidad múltiple automáticamente (Preprints.org, 2026; Brykin, 2024). Esta heterogeneidad fundamenta la hipótesis central: la selección automática del modelo por SKU —en lugar de aplicar un único modelo a todos los productos— reduce el error de predicción agregado.</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2.2 Series temporales y sus componentes</w:t>
      </w:r>
    </w:p>
    <w:p>
      <w:pPr>
        <w:spacing w:after="80" w:before="80"/>
        <w:jc w:val="both"/>
      </w:pPr>
      <w:r>
        <w:rPr>
          <w:rFonts w:ascii="Arial" w:cs="Arial" w:eastAsia="Arial" w:hAnsi="Arial"/>
          <w:color w:val="333333"/>
          <w:sz w:val="22"/>
          <w:szCs w:val="22"/>
        </w:rPr>
        <w:t xml:space="preserve">Una serie temporal es una secuencia de observaciones de una variable ordenadas cronológicamente, donde el orden importa y existe dependencia entre observaciones sucesivas. En el contexto de ventas de distribuidoras, cada serie temporal corresponde al historial de ventas diarias de un SKU específico.</w:t>
      </w:r>
    </w:p>
    <w:p>
      <w:pPr>
        <w:spacing w:after="60" w:before="60"/>
      </w:pPr>
      <w:r>
        <w:t xml:space="preserve"/>
      </w:r>
    </w:p>
    <w:p>
      <w:pPr>
        <w:spacing w:after="80" w:before="220"/>
      </w:pPr>
      <w:r>
        <w:rPr>
          <w:rFonts w:ascii="Arial" w:cs="Arial" w:eastAsia="Arial" w:hAnsi="Arial"/>
          <w:b/>
          <w:bCs/>
          <w:color w:val="1A1A2E"/>
          <w:sz w:val="24"/>
          <w:szCs w:val="24"/>
        </w:rPr>
        <w:t xml:space="preserve">2.2.1 Componentes de una serie temporal</w:t>
      </w:r>
    </w:p>
    <w:p>
      <w:pPr>
        <w:spacing w:after="80" w:before="80"/>
        <w:jc w:val="both"/>
      </w:pPr>
      <w:r>
        <w:rPr>
          <w:rFonts w:ascii="Arial" w:cs="Arial" w:eastAsia="Arial" w:hAnsi="Arial"/>
          <w:color w:val="333333"/>
          <w:sz w:val="22"/>
          <w:szCs w:val="22"/>
        </w:rPr>
        <w:t xml:space="preserve">La descomposición clásica de una serie temporal identifica cuatro componentes: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58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Descripción en contexto de ventas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Tendencia (T)</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Dirección de largo plazo de las ventas. Puede ser creciente (producto en auge), decreciente (producto maduro) o estable.</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Estacionalidad (S)</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Patrones que se repiten con frecuencia fija. En retail: picos semanales (fines de semana), mensuales (quincenas de pago) y anuales (Navidad, CyberDay, Fiestas Patrias).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Ciclicidad (C)</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Fluctuaciones de largo plazo no periódicas, asociadas a ciclos económicos. Más difíciles de modelar.</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Ruido / Irregularidad (R)</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Variaciones aleatorias no explicables por los otros componentes. El residuo del modelo.</w:t>
            </w:r>
          </w:p>
        </w:tc>
      </w:tr>
    </w:tbl>
    <w:p>
      <w:pPr>
        <w:spacing w:after="60" w:before="60"/>
      </w:pPr>
      <w:r>
        <w:t xml:space="preserve"/>
      </w:r>
    </w:p>
    <w:p>
      <w:pPr>
        <w:spacing w:after="80" w:before="80"/>
        <w:jc w:val="both"/>
      </w:pPr>
      <w:r>
        <w:rPr>
          <w:rFonts w:ascii="Arial" w:cs="Arial" w:eastAsia="Arial" w:hAnsi="Arial"/>
          <w:color w:val="333333"/>
          <w:sz w:val="22"/>
          <w:szCs w:val="22"/>
        </w:rPr>
        <w:t xml:space="preserve">Los modelos de descomposición pueden ser aditivos —donde la serie se expresa como T + S + C + R— o multiplicativos —donde los componentes se multiplican (T × S × C × R). En el contexto de ventas de distribuidoras, el modelo multiplicativo es frecuentemente más apropiado, ya que la amplitud de la estacionalidad tiende a crecer proporcionalmente al nivel de la tendencia.</w:t>
      </w:r>
    </w:p>
    <w:p>
      <w:pPr>
        <w:spacing w:after="60" w:before="60"/>
      </w:pPr>
      <w:r>
        <w:t xml:space="preserve"/>
      </w:r>
    </w:p>
    <w:p>
      <w:pPr>
        <w:pStyle w:val="Heading2"/>
        <w:spacing w:after="120" w:before="280"/>
      </w:pPr>
      <w:r>
        <w:rPr>
          <w:rFonts w:ascii="Arial" w:cs="Arial" w:eastAsia="Arial" w:hAnsi="Arial"/>
          <w:b/>
          <w:bCs/>
          <w:color w:val="2E5BA8"/>
          <w:sz w:val="26"/>
          <w:szCs w:val="26"/>
        </w:rPr>
        <w:t xml:space="preserve">2.3 Métricas de evaluación de modelos de forecasting</w:t>
      </w:r>
    </w:p>
    <w:p>
      <w:pPr>
        <w:spacing w:after="80" w:before="80"/>
        <w:jc w:val="both"/>
      </w:pPr>
      <w:r>
        <w:rPr>
          <w:rFonts w:ascii="Arial" w:cs="Arial" w:eastAsia="Arial" w:hAnsi="Arial"/>
          <w:color w:val="333333"/>
          <w:sz w:val="22"/>
          <w:szCs w:val="22"/>
        </w:rPr>
        <w:t xml:space="preserve">La evaluación del desempeño de los modelos de forecasting requiere métricas que cuantifiquen el error de predicción de manera comparable entre SKUs con distintas escalas de demanda. Esta tesis utiliza las siguientes métricas:</w:t>
      </w:r>
    </w:p>
    <w:p>
      <w:pPr>
        <w:spacing w:after="60" w:before="60"/>
      </w:pPr>
      <w:r>
        <w:t xml:space="preserve"/>
      </w:r>
    </w:p>
    <w:p>
      <w:pPr>
        <w:spacing w:after="80" w:before="220"/>
      </w:pPr>
      <w:r>
        <w:rPr>
          <w:rFonts w:ascii="Arial" w:cs="Arial" w:eastAsia="Arial" w:hAnsi="Arial"/>
          <w:b/>
          <w:bCs/>
          <w:color w:val="1A1A2E"/>
          <w:sz w:val="24"/>
          <w:szCs w:val="24"/>
        </w:rPr>
        <w:t xml:space="preserve">2.3.1 Error Medio Absoluto Porcentual (MAPE)</w:t>
      </w:r>
    </w:p>
    <w:p>
      <w:pPr>
        <w:spacing w:after="80" w:before="80"/>
        <w:jc w:val="both"/>
      </w:pPr>
      <w:r>
        <w:rPr>
          <w:rFonts w:ascii="Arial" w:cs="Arial" w:eastAsia="Arial" w:hAnsi="Arial"/>
          <w:color w:val="333333"/>
          <w:sz w:val="22"/>
          <w:szCs w:val="22"/>
        </w:rPr>
        <w:t xml:space="preserve">El MAPE es la métrica primaria de esta investigación por su interpretabilidad directa (se expresa como porcentaje) y su independencia de la escala:</w:t>
      </w:r>
    </w:p>
    <w:p>
      <w:pPr>
        <w:spacing w:after="120" w:before="120"/>
        <w:jc w:val="center"/>
      </w:pPr>
      <w:r>
        <w:rPr>
          <w:rFonts w:ascii="Courier New" w:cs="Courier New" w:eastAsia="Courier New" w:hAnsi="Courier New"/>
          <w:b/>
          <w:bCs/>
          <w:color w:val="1A1A2E"/>
          <w:sz w:val="22"/>
          <w:szCs w:val="22"/>
        </w:rPr>
        <w:t xml:space="preserve">MAPE = (1/n) × Σ |( y_t − ŷ_t ) / y_t| × 100</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y_t</w:t>
      </w:r>
      <w:r>
        <w:rPr>
          <w:rFonts w:ascii="Arial" w:cs="Arial" w:eastAsia="Arial" w:hAnsi="Arial"/>
          <w:color w:val="333333"/>
          <w:sz w:val="22"/>
          <w:szCs w:val="22"/>
        </w:rPr>
        <w:t xml:space="preserve"> es el valor real en el período </w:t>
      </w:r>
      <w:r>
        <w:rPr>
          <w:rFonts w:ascii="Arial" w:cs="Arial" w:eastAsia="Arial" w:hAnsi="Arial"/>
          <w:i/>
          <w:iCs/>
          <w:color w:val="333333"/>
          <w:sz w:val="22"/>
          <w:szCs w:val="22"/>
        </w:rPr>
        <w:t xml:space="preserve">t</w:t>
      </w:r>
      <w:r>
        <w:rPr>
          <w:rFonts w:ascii="Arial" w:cs="Arial" w:eastAsia="Arial" w:hAnsi="Arial"/>
          <w:color w:val="333333"/>
          <w:sz w:val="22"/>
          <w:szCs w:val="22"/>
        </w:rPr>
        <w:t xml:space="preserve">, </w:t>
      </w:r>
      <w:r>
        <w:rPr>
          <w:rFonts w:ascii="Arial" w:cs="Arial" w:eastAsia="Arial" w:hAnsi="Arial"/>
          <w:i/>
          <w:iCs/>
          <w:color w:val="333333"/>
          <w:sz w:val="22"/>
          <w:szCs w:val="22"/>
        </w:rPr>
        <w:t xml:space="preserve">ŷ_t</w:t>
      </w:r>
      <w:r>
        <w:rPr>
          <w:rFonts w:ascii="Arial" w:cs="Arial" w:eastAsia="Arial" w:hAnsi="Arial"/>
          <w:color w:val="333333"/>
          <w:sz w:val="22"/>
          <w:szCs w:val="22"/>
        </w:rPr>
        <w:t xml:space="preserve"> es el valor predicho y </w:t>
      </w:r>
      <w:r>
        <w:rPr>
          <w:rFonts w:ascii="Arial" w:cs="Arial" w:eastAsia="Arial" w:hAnsi="Arial"/>
          <w:i/>
          <w:iCs/>
          <w:color w:val="333333"/>
          <w:sz w:val="22"/>
          <w:szCs w:val="22"/>
        </w:rPr>
        <w:t xml:space="preserve">n</w:t>
      </w:r>
      <w:r>
        <w:rPr>
          <w:rFonts w:ascii="Arial" w:cs="Arial" w:eastAsia="Arial" w:hAnsi="Arial"/>
          <w:color w:val="333333"/>
          <w:sz w:val="22"/>
          <w:szCs w:val="22"/>
        </w:rPr>
        <w:t xml:space="preserve"> es el número de períodos evaluados. Un MAPE del 10% indica que, en promedio, las predicciones difieren un 10% del valor real. Se considera excelente un MAPE &lt; 10%, bueno entre 10–20% y aceptable entre 20–50%.</w:t>
      </w:r>
    </w:p>
    <w:p>
      <w:pPr>
        <w:spacing w:after="60" w:before="60"/>
      </w:pPr>
      <w:r>
        <w:t xml:space="preserve"/>
      </w:r>
    </w:p>
    <w:p>
      <w:pPr>
        <w:spacing w:after="80" w:before="80"/>
        <w:jc w:val="both"/>
      </w:pPr>
      <w:r>
        <w:rPr>
          <w:rFonts w:ascii="Arial" w:cs="Arial" w:eastAsia="Arial" w:hAnsi="Arial"/>
          <w:b/>
          <w:bCs/>
          <w:color w:val="333333"/>
          <w:sz w:val="22"/>
          <w:szCs w:val="22"/>
        </w:rPr>
        <w:t xml:space="preserve">Limitación del MAPE:</w:t>
      </w:r>
      <w:r>
        <w:rPr>
          <w:rFonts w:ascii="Arial" w:cs="Arial" w:eastAsia="Arial" w:hAnsi="Arial"/>
          <w:color w:val="333333"/>
          <w:sz w:val="22"/>
          <w:szCs w:val="22"/>
        </w:rPr>
        <w:t xml:space="preserve"> el MAPE no está definido cuando </w:t>
      </w:r>
      <w:r>
        <w:rPr>
          <w:rFonts w:ascii="Arial" w:cs="Arial" w:eastAsia="Arial" w:hAnsi="Arial"/>
          <w:i/>
          <w:iCs/>
          <w:color w:val="333333"/>
          <w:sz w:val="22"/>
          <w:szCs w:val="22"/>
        </w:rPr>
        <w:t xml:space="preserve">y_t</w:t>
      </w:r>
      <w:r>
        <w:rPr>
          <w:rFonts w:ascii="Arial" w:cs="Arial" w:eastAsia="Arial" w:hAnsi="Arial"/>
          <w:color w:val="333333"/>
          <w:sz w:val="22"/>
          <w:szCs w:val="22"/>
        </w:rPr>
        <w:t xml:space="preserve"> = 0 (demanda cero en un período). Para SKUs con demanda intermitente, se complementa con el RMSE.</w:t>
      </w:r>
    </w:p>
    <w:p>
      <w:pPr>
        <w:spacing w:after="60" w:before="60"/>
      </w:pPr>
      <w:r>
        <w:t xml:space="preserve"/>
      </w:r>
    </w:p>
    <w:p>
      <w:pPr>
        <w:spacing w:after="80" w:before="220"/>
      </w:pPr>
      <w:r>
        <w:rPr>
          <w:rFonts w:ascii="Arial" w:cs="Arial" w:eastAsia="Arial" w:hAnsi="Arial"/>
          <w:b/>
          <w:bCs/>
          <w:color w:val="1A1A2E"/>
          <w:sz w:val="24"/>
          <w:szCs w:val="24"/>
        </w:rPr>
        <w:t xml:space="preserve">2.3.2 Raíz del Error Cuadrático Medio (RMSE)</w:t>
      </w:r>
    </w:p>
    <w:p>
      <w:pPr>
        <w:spacing w:after="120" w:before="120"/>
        <w:jc w:val="center"/>
      </w:pPr>
      <w:r>
        <w:rPr>
          <w:rFonts w:ascii="Courier New" w:cs="Courier New" w:eastAsia="Courier New" w:hAnsi="Courier New"/>
          <w:b/>
          <w:bCs/>
          <w:color w:val="1A1A2E"/>
          <w:sz w:val="22"/>
          <w:szCs w:val="22"/>
        </w:rPr>
        <w:t xml:space="preserve">RMSE = √[ (1/n) × Σ ( y_t − ŷ_t )² ]</w:t>
      </w:r>
    </w:p>
    <w:p>
      <w:pPr>
        <w:spacing w:after="80" w:before="80"/>
        <w:jc w:val="both"/>
      </w:pPr>
      <w:r>
        <w:rPr>
          <w:rFonts w:ascii="Arial" w:cs="Arial" w:eastAsia="Arial" w:hAnsi="Arial"/>
          <w:color w:val="333333"/>
          <w:sz w:val="22"/>
          <w:szCs w:val="22"/>
        </w:rPr>
        <w:t xml:space="preserve">El RMSE penaliza desproporcionadamente los errores grandes, siendo útil para identificar modelos que producen predicciones extremas. Se expresa en las mismas unidades que la variable original (unidades vendidas), lo que facilita su interpretación operacional. Se usa como métrica secundaria y como criterio de desempate cuando el MAPE de dos modelos es similar.</w:t>
      </w:r>
    </w:p>
    <w:p>
      <w:pPr>
        <w:spacing w:after="60" w:before="60"/>
      </w:pPr>
      <w:r>
        <w:t xml:space="preserve"/>
      </w:r>
    </w:p>
    <w:p>
      <w:pPr>
        <w:spacing w:after="80" w:before="220"/>
      </w:pPr>
      <w:r>
        <w:rPr>
          <w:rFonts w:ascii="Arial" w:cs="Arial" w:eastAsia="Arial" w:hAnsi="Arial"/>
          <w:b/>
          <w:bCs/>
          <w:color w:val="1A1A2E"/>
          <w:sz w:val="24"/>
          <w:szCs w:val="24"/>
        </w:rPr>
        <w:t xml:space="preserve">2.3.3 Error Medio Absoluto (MAE)</w:t>
      </w:r>
    </w:p>
    <w:p>
      <w:pPr>
        <w:spacing w:after="120" w:before="120"/>
        <w:jc w:val="center"/>
      </w:pPr>
      <w:r>
        <w:rPr>
          <w:rFonts w:ascii="Courier New" w:cs="Courier New" w:eastAsia="Courier New" w:hAnsi="Courier New"/>
          <w:b/>
          <w:bCs/>
          <w:color w:val="1A1A2E"/>
          <w:sz w:val="22"/>
          <w:szCs w:val="22"/>
        </w:rPr>
        <w:t xml:space="preserve">MAE = (1/n) × Σ |y_t − ŷ_t|</w:t>
      </w:r>
    </w:p>
    <w:p>
      <w:pPr>
        <w:spacing w:after="80" w:before="80"/>
        <w:jc w:val="both"/>
      </w:pPr>
      <w:r>
        <w:rPr>
          <w:rFonts w:ascii="Arial" w:cs="Arial" w:eastAsia="Arial" w:hAnsi="Arial"/>
          <w:color w:val="333333"/>
          <w:sz w:val="22"/>
          <w:szCs w:val="22"/>
        </w:rPr>
        <w:t xml:space="preserve">El MAE es robusto ante outliers y tiene la misma unidad que la variable. Se reporta en la evaluación comparativa completa para dar una visión integral del error de cada modelo por SKU.</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BF3FB" w:val="clear"/>
            <w:tcMar>
              <w:top w:type="dxa" w:w="120"/>
              <w:left w:type="dxa" w:w="200"/>
              <w:bottom w:type="dxa" w:w="120"/>
              <w:right w:type="dxa" w:w="200"/>
            </w:tcMar>
          </w:tcPr>
          <w:p>
            <w:pPr>
              <w:spacing w:after="60" w:before="0"/>
            </w:pPr>
            <w:r>
              <w:rPr>
                <w:rFonts w:ascii="Arial" w:cs="Arial" w:eastAsia="Arial" w:hAnsi="Arial"/>
                <w:b/>
                <w:bCs/>
                <w:color w:val="0D47A1"/>
                <w:sz w:val="20"/>
                <w:szCs w:val="20"/>
              </w:rPr>
              <w:t xml:space="preserve">Criterio de selección automática de modelo por SKU</w:t>
            </w:r>
          </w:p>
          <w:p>
            <w:pPr>
              <w:jc w:val="both"/>
            </w:pPr>
            <w:r>
              <w:rPr>
                <w:rFonts w:ascii="Arial" w:cs="Arial" w:eastAsia="Arial" w:hAnsi="Arial"/>
                <w:color w:val="1A1A2E"/>
                <w:sz w:val="21"/>
                <w:szCs w:val="21"/>
              </w:rPr>
              <w:t xml:space="preserve">El selector automático —componente central de esta tesis— elige el modelo con menor MAPE en el conjunto de validación para cada SKU individualmente. En caso de MAPE indefinido (SKU con períodos de demanda cero ≥ 20% del historial), el criterio de selección cambia a RMSE.</w:t>
            </w:r>
          </w:p>
        </w:tc>
      </w:tr>
    </w:tbl>
    <w:p>
      <w:pPr>
        <w:spacing w:after="60" w:before="60"/>
      </w:pPr>
      <w:r>
        <w:t xml:space="preserve"/>
      </w:r>
    </w:p>
    <w:p>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BF3FB" w:val="clear"/>
            <w:tcMar>
              <w:top w:type="dxa" w:w="120"/>
              <w:left w:type="dxa" w:w="200"/>
              <w:bottom w:type="dxa" w:w="120"/>
              <w:right w:type="dxa" w:w="200"/>
            </w:tcMar>
          </w:tcPr>
          <w:p>
            <w:r>
              <w:rPr>
                <w:rFonts w:ascii="Arial" w:cs="Arial" w:eastAsia="Arial" w:hAnsi="Arial"/>
                <w:b/>
                <w:bCs/>
                <w:color w:val="0D47A1"/>
                <w:sz w:val="24"/>
                <w:szCs w:val="24"/>
              </w:rPr>
              <w:t xml:space="preserve">Modelo 1 — ARIMA (Autoregressive Integrated Moving Average)</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2.4 Modelo ARIMA</w:t>
      </w:r>
    </w:p>
    <w:p>
      <w:pPr>
        <w:spacing w:after="80" w:before="220"/>
      </w:pPr>
      <w:r>
        <w:rPr>
          <w:rFonts w:ascii="Arial" w:cs="Arial" w:eastAsia="Arial" w:hAnsi="Arial"/>
          <w:b/>
          <w:bCs/>
          <w:color w:val="1A1A2E"/>
          <w:sz w:val="24"/>
          <w:szCs w:val="24"/>
        </w:rPr>
        <w:t xml:space="preserve">2.4.1 Fundamentos teóricos</w:t>
      </w:r>
    </w:p>
    <w:p>
      <w:pPr>
        <w:spacing w:after="80" w:before="80"/>
        <w:jc w:val="both"/>
      </w:pPr>
      <w:r>
        <w:rPr>
          <w:rFonts w:ascii="Arial" w:cs="Arial" w:eastAsia="Arial" w:hAnsi="Arial"/>
          <w:color w:val="333333"/>
          <w:sz w:val="22"/>
          <w:szCs w:val="22"/>
        </w:rPr>
        <w:t xml:space="preserve">ARIMA (Autoregressive Integrated Moving Average) es el modelo estadístico de series temporales univariado más utilizado en la literatura de forecasting. Fue formalizado por Box y Jenkins (1976) y sigue siendo un referente de comparación en estudios actuales (Brykin, 2024). El modelo ARIMA(p, d, q) combina tres componentes: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58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Descripción</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AR(p) — Autorregresivo</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La variable actual se modela como combinación lineal de sus p valores pasados: y_t = φ₁y_{t-1} + φ₂y_{t-2} + ... + φ_py_{t-p} + ε_t</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I(d) — Integrado</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Representa el número de diferenciaciones necesarias para hacer la serie estacionaria. d=1 elimina tendencia lineal; d=2 elimina tendencia cuadrática.</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MA(q) — Media Móvil</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La variable actual se modela como combinación lineal de los q errores pasados: ε_t + θ₁ε_{t-1} + ... + θ_qε_{t-q}</w:t>
            </w:r>
          </w:p>
        </w:tc>
      </w:tr>
    </w:tbl>
    <w:p>
      <w:pPr>
        <w:spacing w:after="60" w:before="60"/>
      </w:pPr>
      <w:r>
        <w:t xml:space="preserve"/>
      </w:r>
    </w:p>
    <w:p>
      <w:pPr>
        <w:spacing w:after="80" w:before="220"/>
      </w:pPr>
      <w:r>
        <w:rPr>
          <w:rFonts w:ascii="Arial" w:cs="Arial" w:eastAsia="Arial" w:hAnsi="Arial"/>
          <w:b/>
          <w:bCs/>
          <w:color w:val="1A1A2E"/>
          <w:sz w:val="24"/>
          <w:szCs w:val="24"/>
        </w:rPr>
        <w:t xml:space="preserve">2.4.2 Condición de estacionariedad</w:t>
      </w:r>
    </w:p>
    <w:p>
      <w:pPr>
        <w:spacing w:after="80" w:before="80"/>
        <w:jc w:val="both"/>
      </w:pPr>
      <w:r>
        <w:rPr>
          <w:rFonts w:ascii="Arial" w:cs="Arial" w:eastAsia="Arial" w:hAnsi="Arial"/>
          <w:color w:val="333333"/>
          <w:sz w:val="22"/>
          <w:szCs w:val="22"/>
        </w:rPr>
        <w:t xml:space="preserve">ARIMA requiere que la serie sea estacionaria, es decir, que su media, varianza y autocovarianza no dependan del tiempo. En la práctica, las series de ventas suelen ser no estacionarias debido a tendencia y estacionalidad. Para verificar la estacionariedad se utiliza la prueba de Dickey-Fuller Aumentada (ADF), y para corregirla se aplica diferenciación:</w:t>
      </w:r>
    </w:p>
    <w:p>
      <w:pPr>
        <w:spacing w:after="120" w:before="120"/>
        <w:jc w:val="center"/>
      </w:pPr>
      <w:r>
        <w:rPr>
          <w:rFonts w:ascii="Courier New" w:cs="Courier New" w:eastAsia="Courier New" w:hAnsi="Courier New"/>
          <w:b/>
          <w:bCs/>
          <w:color w:val="1A1A2E"/>
          <w:sz w:val="22"/>
          <w:szCs w:val="22"/>
        </w:rPr>
        <w:t xml:space="preserve">∇y_t = y_t − y_{t-1}   (diferencia de orden 1)</w:t>
      </w:r>
    </w:p>
    <w:p>
      <w:pPr>
        <w:spacing w:after="60" w:before="60"/>
      </w:pPr>
      <w:r>
        <w:t xml:space="preserve"/>
      </w:r>
    </w:p>
    <w:p>
      <w:pPr>
        <w:spacing w:after="80" w:before="220"/>
      </w:pPr>
      <w:r>
        <w:rPr>
          <w:rFonts w:ascii="Arial" w:cs="Arial" w:eastAsia="Arial" w:hAnsi="Arial"/>
          <w:b/>
          <w:bCs/>
          <w:color w:val="1A1A2E"/>
          <w:sz w:val="24"/>
          <w:szCs w:val="24"/>
        </w:rPr>
        <w:t xml:space="preserve">2.4.3 Extensión estacional: SARIMA</w:t>
      </w:r>
    </w:p>
    <w:p>
      <w:pPr>
        <w:spacing w:after="80" w:before="80"/>
        <w:jc w:val="both"/>
      </w:pPr>
      <w:r>
        <w:rPr>
          <w:rFonts w:ascii="Arial" w:cs="Arial" w:eastAsia="Arial" w:hAnsi="Arial"/>
          <w:color w:val="333333"/>
          <w:sz w:val="22"/>
          <w:szCs w:val="22"/>
        </w:rPr>
        <w:t xml:space="preserve">Para series con componente estacional —como las ventas de distribuidoras con picos semanales o anuales— se utiliza la extensión SARIMA(p, d, q)(P, D, Q)_m, donde m es el período estacional (m=7 para estacionalidad semanal, m=52 para anual). Esta extensión agrega términos autorregresivos y de media móvil estacionales.</w:t>
      </w:r>
    </w:p>
    <w:p>
      <w:pPr>
        <w:spacing w:after="60" w:before="60"/>
      </w:pPr>
      <w:r>
        <w:t xml:space="preserve"/>
      </w:r>
    </w:p>
    <w:p>
      <w:pPr>
        <w:spacing w:after="80" w:before="220"/>
      </w:pPr>
      <w:r>
        <w:rPr>
          <w:rFonts w:ascii="Arial" w:cs="Arial" w:eastAsia="Arial" w:hAnsi="Arial"/>
          <w:b/>
          <w:bCs/>
          <w:color w:val="1A1A2E"/>
          <w:sz w:val="24"/>
          <w:szCs w:val="24"/>
        </w:rPr>
        <w:t xml:space="preserve">2.4.4 Selección de parámetros</w:t>
      </w:r>
    </w:p>
    <w:p>
      <w:pPr>
        <w:spacing w:after="80" w:before="80"/>
        <w:jc w:val="both"/>
      </w:pPr>
      <w:r>
        <w:rPr>
          <w:rFonts w:ascii="Arial" w:cs="Arial" w:eastAsia="Arial" w:hAnsi="Arial"/>
          <w:color w:val="333333"/>
          <w:sz w:val="22"/>
          <w:szCs w:val="22"/>
        </w:rPr>
        <w:t xml:space="preserve">La selección de </w:t>
      </w:r>
      <w:r>
        <w:rPr>
          <w:rFonts w:ascii="Arial" w:cs="Arial" w:eastAsia="Arial" w:hAnsi="Arial"/>
          <w:i/>
          <w:iCs/>
          <w:color w:val="333333"/>
          <w:sz w:val="22"/>
          <w:szCs w:val="22"/>
        </w:rPr>
        <w:t xml:space="preserve">p</w:t>
      </w:r>
      <w:r>
        <w:rPr>
          <w:rFonts w:ascii="Arial" w:cs="Arial" w:eastAsia="Arial" w:hAnsi="Arial"/>
          <w:color w:val="333333"/>
          <w:sz w:val="22"/>
          <w:szCs w:val="22"/>
        </w:rPr>
        <w:t xml:space="preserve">, </w:t>
      </w:r>
      <w:r>
        <w:rPr>
          <w:rFonts w:ascii="Arial" w:cs="Arial" w:eastAsia="Arial" w:hAnsi="Arial"/>
          <w:i/>
          <w:iCs/>
          <w:color w:val="333333"/>
          <w:sz w:val="22"/>
          <w:szCs w:val="22"/>
        </w:rPr>
        <w:t xml:space="preserve">d</w:t>
      </w:r>
      <w:r>
        <w:rPr>
          <w:rFonts w:ascii="Arial" w:cs="Arial" w:eastAsia="Arial" w:hAnsi="Arial"/>
          <w:color w:val="333333"/>
          <w:sz w:val="22"/>
          <w:szCs w:val="22"/>
        </w:rPr>
        <w:t xml:space="preserve"> y </w:t>
      </w:r>
      <w:r>
        <w:rPr>
          <w:rFonts w:ascii="Arial" w:cs="Arial" w:eastAsia="Arial" w:hAnsi="Arial"/>
          <w:i/>
          <w:iCs/>
          <w:color w:val="333333"/>
          <w:sz w:val="22"/>
          <w:szCs w:val="22"/>
        </w:rPr>
        <w:t xml:space="preserve">q</w:t>
      </w:r>
      <w:r>
        <w:rPr>
          <w:rFonts w:ascii="Arial" w:cs="Arial" w:eastAsia="Arial" w:hAnsi="Arial"/>
          <w:color w:val="333333"/>
          <w:sz w:val="22"/>
          <w:szCs w:val="22"/>
        </w:rPr>
        <w:t xml:space="preserve"> óptimos se realiza mediante los criterios de información AIC (Akaike) y BIC (Bayesian Information Criterion), que penalizan la complejidad del modelo para evitar sobreajuste. En la implementación de esta tesis se utiliza la función </w:t>
      </w:r>
      <w:r>
        <w:rPr>
          <w:rFonts w:ascii="Arial" w:cs="Arial" w:eastAsia="Arial" w:hAnsi="Arial"/>
          <w:b/>
          <w:bCs/>
          <w:color w:val="333333"/>
          <w:sz w:val="22"/>
          <w:szCs w:val="22"/>
        </w:rPr>
        <w:t xml:space="preserve">auto_arima()</w:t>
      </w:r>
      <w:r>
        <w:rPr>
          <w:rFonts w:ascii="Arial" w:cs="Arial" w:eastAsia="Arial" w:hAnsi="Arial"/>
          <w:color w:val="333333"/>
          <w:sz w:val="22"/>
          <w:szCs w:val="22"/>
        </w:rPr>
        <w:t xml:space="preserve"> de la librería </w:t>
      </w:r>
      <w:r>
        <w:rPr>
          <w:rFonts w:ascii="Arial" w:cs="Arial" w:eastAsia="Arial" w:hAnsi="Arial"/>
          <w:i/>
          <w:iCs/>
          <w:color w:val="333333"/>
          <w:sz w:val="22"/>
          <w:szCs w:val="22"/>
        </w:rPr>
        <w:t xml:space="preserve">statsmodels</w:t>
      </w:r>
      <w:r>
        <w:rPr>
          <w:rFonts w:ascii="Arial" w:cs="Arial" w:eastAsia="Arial" w:hAnsi="Arial"/>
          <w:color w:val="333333"/>
          <w:sz w:val="22"/>
          <w:szCs w:val="22"/>
        </w:rPr>
        <w:t xml:space="preserve"> de Python, que automatiza la búsqueda de parámetros óptimos.</w:t>
      </w:r>
    </w:p>
    <w:p>
      <w:pPr>
        <w:spacing w:after="60" w:before="60"/>
      </w:pPr>
      <w:r>
        <w:t xml:space="preserve"/>
      </w:r>
    </w:p>
    <w:p>
      <w:pPr>
        <w:spacing w:after="80" w:before="220"/>
      </w:pPr>
      <w:r>
        <w:rPr>
          <w:rFonts w:ascii="Arial" w:cs="Arial" w:eastAsia="Arial" w:hAnsi="Arial"/>
          <w:b/>
          <w:bCs/>
          <w:color w:val="1A1A2E"/>
          <w:sz w:val="24"/>
          <w:szCs w:val="24"/>
        </w:rPr>
        <w:t xml:space="preserve">2.4.5 Fortalezas y limitaciones en el contexto de esta tesis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Fortalezas</w:t>
            </w:r>
          </w:p>
        </w:tc>
        <w:tc>
          <w:tcPr>
            <w:tcW w:type="dxa" w:w="58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Limitaciones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Sólida base estadística con interpretabilidad de parámetros</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Asume linealidad — no captura relaciones no-lineales complejas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Excelente en series estables con patrones regulares (MAPE 3.2–13.6% según revisión 2026)</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Requiere estacionariedad — proceso de transformación puede introducir errores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Bajo costo computacional — adecuado para entrenamiento masivo por SKU</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Bajo rendimiento en series con alta irregularidad o demanda intermitente</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Muy citado en literatura — facilita comparación con estudios previos</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Manejo limitado de múltiples estacionalidades sin extensiones complejas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r>
              <w:rPr>
                <w:rFonts w:ascii="Arial" w:cs="Arial" w:eastAsia="Arial" w:hAnsi="Arial"/>
                <w:b/>
                <w:bCs/>
                <w:color w:val="1B5E20"/>
                <w:sz w:val="24"/>
                <w:szCs w:val="24"/>
              </w:rPr>
              <w:t xml:space="preserve">Modelo 2 — Prophet (Facebook / Meta)</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2.5 Modelo Prophet</w:t>
      </w:r>
    </w:p>
    <w:p>
      <w:pPr>
        <w:spacing w:after="80" w:before="220"/>
      </w:pPr>
      <w:r>
        <w:rPr>
          <w:rFonts w:ascii="Arial" w:cs="Arial" w:eastAsia="Arial" w:hAnsi="Arial"/>
          <w:b/>
          <w:bCs/>
          <w:color w:val="1A1A2E"/>
          <w:sz w:val="24"/>
          <w:szCs w:val="24"/>
        </w:rPr>
        <w:t xml:space="preserve">2.5.1 Fundamentos teóricos</w:t>
      </w:r>
    </w:p>
    <w:p>
      <w:pPr>
        <w:spacing w:after="80" w:before="80"/>
        <w:jc w:val="both"/>
      </w:pPr>
      <w:r>
        <w:rPr>
          <w:rFonts w:ascii="Arial" w:cs="Arial" w:eastAsia="Arial" w:hAnsi="Arial"/>
          <w:color w:val="333333"/>
          <w:sz w:val="22"/>
          <w:szCs w:val="22"/>
        </w:rPr>
        <w:t xml:space="preserve">Prophet es un modelo de forecasting de series temporales desarrollado por el equipo de ciencia de datos de Meta (Facebook) y publicado como software de código abierto en 2017 (Taylor &amp; Letham, 2018). A diferencia de ARIMA, Prophet no modela la autocorrelación temporal de la serie, sino que descompone la serie en componentes interpretables mediante un Modelo Aditivo Generalizado (GAM):</w:t>
      </w:r>
    </w:p>
    <w:p>
      <w:pPr>
        <w:spacing w:after="120" w:before="120"/>
        <w:jc w:val="center"/>
      </w:pPr>
      <w:r>
        <w:rPr>
          <w:rFonts w:ascii="Courier New" w:cs="Courier New" w:eastAsia="Courier New" w:hAnsi="Courier New"/>
          <w:b/>
          <w:bCs/>
          <w:color w:val="1A1A2E"/>
          <w:sz w:val="22"/>
          <w:szCs w:val="22"/>
        </w:rPr>
        <w:t xml:space="preserve">y(t) = g(t) + s(t) + h(t) + ε_t</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g(t)</w:t>
      </w:r>
      <w:r>
        <w:rPr>
          <w:rFonts w:ascii="Arial" w:cs="Arial" w:eastAsia="Arial" w:hAnsi="Arial"/>
          <w:color w:val="333333"/>
          <w:sz w:val="22"/>
          <w:szCs w:val="22"/>
        </w:rPr>
        <w:t xml:space="preserve"> es la función de tendencia, </w:t>
      </w:r>
      <w:r>
        <w:rPr>
          <w:rFonts w:ascii="Arial" w:cs="Arial" w:eastAsia="Arial" w:hAnsi="Arial"/>
          <w:i/>
          <w:iCs/>
          <w:color w:val="333333"/>
          <w:sz w:val="22"/>
          <w:szCs w:val="22"/>
        </w:rPr>
        <w:t xml:space="preserve">s(t)</w:t>
      </w:r>
      <w:r>
        <w:rPr>
          <w:rFonts w:ascii="Arial" w:cs="Arial" w:eastAsia="Arial" w:hAnsi="Arial"/>
          <w:color w:val="333333"/>
          <w:sz w:val="22"/>
          <w:szCs w:val="22"/>
        </w:rPr>
        <w:t xml:space="preserve"> la componente estacional, </w:t>
      </w:r>
      <w:r>
        <w:rPr>
          <w:rFonts w:ascii="Arial" w:cs="Arial" w:eastAsia="Arial" w:hAnsi="Arial"/>
          <w:i/>
          <w:iCs/>
          <w:color w:val="333333"/>
          <w:sz w:val="22"/>
          <w:szCs w:val="22"/>
        </w:rPr>
        <w:t xml:space="preserve">h(t)</w:t>
      </w:r>
      <w:r>
        <w:rPr>
          <w:rFonts w:ascii="Arial" w:cs="Arial" w:eastAsia="Arial" w:hAnsi="Arial"/>
          <w:color w:val="333333"/>
          <w:sz w:val="22"/>
          <w:szCs w:val="22"/>
        </w:rPr>
        <w:t xml:space="preserve"> el efecto de festividades (holidays) y </w:t>
      </w:r>
      <w:r>
        <w:rPr>
          <w:rFonts w:ascii="Arial" w:cs="Arial" w:eastAsia="Arial" w:hAnsi="Arial"/>
          <w:i/>
          <w:iCs/>
          <w:color w:val="333333"/>
          <w:sz w:val="22"/>
          <w:szCs w:val="22"/>
        </w:rPr>
        <w:t xml:space="preserve">ε_t</w:t>
      </w:r>
      <w:r>
        <w:rPr>
          <w:rFonts w:ascii="Arial" w:cs="Arial" w:eastAsia="Arial" w:hAnsi="Arial"/>
          <w:color w:val="333333"/>
          <w:sz w:val="22"/>
          <w:szCs w:val="22"/>
        </w:rPr>
        <w:t xml:space="preserve"> el término de error. Esta descomposición hace a Prophet altamente interpretable y configurable.</w:t>
      </w:r>
    </w:p>
    <w:p>
      <w:pPr>
        <w:spacing w:after="60" w:before="60"/>
      </w:pPr>
      <w:r>
        <w:t xml:space="preserve"/>
      </w:r>
    </w:p>
    <w:p>
      <w:pPr>
        <w:spacing w:after="80" w:before="220"/>
      </w:pPr>
      <w:r>
        <w:rPr>
          <w:rFonts w:ascii="Arial" w:cs="Arial" w:eastAsia="Arial" w:hAnsi="Arial"/>
          <w:b/>
          <w:bCs/>
          <w:color w:val="1A1A2E"/>
          <w:sz w:val="24"/>
          <w:szCs w:val="24"/>
        </w:rPr>
        <w:t xml:space="preserve">2.5.2 Componentes del modelo</w:t>
      </w:r>
    </w:p>
    <w:p>
      <w:pPr>
        <w:spacing w:after="60" w:before="160"/>
      </w:pPr>
      <w:r>
        <w:rPr>
          <w:rFonts w:ascii="Arial" w:cs="Arial" w:eastAsia="Arial" w:hAnsi="Arial"/>
          <w:b/>
          <w:bCs/>
          <w:i/>
          <w:iCs/>
          <w:color w:val="2E5BA8"/>
          <w:sz w:val="22"/>
          <w:szCs w:val="22"/>
        </w:rPr>
        <w:t xml:space="preserve">Tendencia g(t)</w:t>
      </w:r>
    </w:p>
    <w:p>
      <w:pPr>
        <w:spacing w:after="80" w:before="80"/>
        <w:jc w:val="both"/>
      </w:pPr>
      <w:r>
        <w:rPr>
          <w:rFonts w:ascii="Arial" w:cs="Arial" w:eastAsia="Arial" w:hAnsi="Arial"/>
          <w:color w:val="333333"/>
          <w:sz w:val="22"/>
          <w:szCs w:val="22"/>
        </w:rPr>
        <w:t xml:space="preserve">Prophet soporta dos modelos de tendencia: (1) crecimiento logístico, para series con capacidad máxima (mercados saturables), y (2) modelo lineal por tramos (piecewise linear), que detecta automáticamente cambios de tendencia (changepoints) usando un prior de Laplace disperso. El modelo lineal por tramos es el más adecuado para series de ventas de distribuidoras sin capacidad máxima definida.</w:t>
      </w:r>
    </w:p>
    <w:p>
      <w:pPr>
        <w:spacing w:after="60" w:before="60"/>
      </w:pPr>
      <w:r>
        <w:t xml:space="preserve"/>
      </w:r>
    </w:p>
    <w:p>
      <w:pPr>
        <w:spacing w:after="60" w:before="160"/>
      </w:pPr>
      <w:r>
        <w:rPr>
          <w:rFonts w:ascii="Arial" w:cs="Arial" w:eastAsia="Arial" w:hAnsi="Arial"/>
          <w:b/>
          <w:bCs/>
          <w:i/>
          <w:iCs/>
          <w:color w:val="2E5BA8"/>
          <w:sz w:val="22"/>
          <w:szCs w:val="22"/>
        </w:rPr>
        <w:t xml:space="preserve">Estacionalidad s(t)</w:t>
      </w:r>
    </w:p>
    <w:p>
      <w:pPr>
        <w:spacing w:after="80" w:before="80"/>
        <w:jc w:val="both"/>
      </w:pPr>
      <w:r>
        <w:rPr>
          <w:rFonts w:ascii="Arial" w:cs="Arial" w:eastAsia="Arial" w:hAnsi="Arial"/>
          <w:color w:val="333333"/>
          <w:sz w:val="22"/>
          <w:szCs w:val="22"/>
        </w:rPr>
        <w:t xml:space="preserve">La estacionalidad se modela mediante series de Fourier, lo que permite capturar múltiples frecuencias estacionales simultáneamente sin necesidad de especificar el período con precisión:</w:t>
      </w:r>
    </w:p>
    <w:p>
      <w:pPr>
        <w:spacing w:after="120" w:before="120"/>
        <w:jc w:val="center"/>
      </w:pPr>
      <w:r>
        <w:rPr>
          <w:rFonts w:ascii="Courier New" w:cs="Courier New" w:eastAsia="Courier New" w:hAnsi="Courier New"/>
          <w:b/>
          <w:bCs/>
          <w:color w:val="1A1A2E"/>
          <w:sz w:val="22"/>
          <w:szCs w:val="22"/>
        </w:rPr>
        <w:t xml:space="preserve">s(t) = Σ [ aₙ cos(2πnt/P) + bₙ sin(2πnt/P) ]</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P</w:t>
      </w:r>
      <w:r>
        <w:rPr>
          <w:rFonts w:ascii="Arial" w:cs="Arial" w:eastAsia="Arial" w:hAnsi="Arial"/>
          <w:color w:val="333333"/>
          <w:sz w:val="22"/>
          <w:szCs w:val="22"/>
        </w:rPr>
        <w:t xml:space="preserve"> es el período y </w:t>
      </w:r>
      <w:r>
        <w:rPr>
          <w:rFonts w:ascii="Arial" w:cs="Arial" w:eastAsia="Arial" w:hAnsi="Arial"/>
          <w:i/>
          <w:iCs/>
          <w:color w:val="333333"/>
          <w:sz w:val="22"/>
          <w:szCs w:val="22"/>
        </w:rPr>
        <w:t xml:space="preserve">n</w:t>
      </w:r>
      <w:r>
        <w:rPr>
          <w:rFonts w:ascii="Arial" w:cs="Arial" w:eastAsia="Arial" w:hAnsi="Arial"/>
          <w:color w:val="333333"/>
          <w:sz w:val="22"/>
          <w:szCs w:val="22"/>
        </w:rPr>
        <w:t xml:space="preserve"> controla la suavidad de la curva estacional. Prophet soporta estacionalidad diaria, semanal y anual de forma nativa, con configuración adicional para estacionalidades personalizadas.</w:t>
      </w:r>
    </w:p>
    <w:p>
      <w:pPr>
        <w:spacing w:after="60" w:before="60"/>
      </w:pPr>
      <w:r>
        <w:t xml:space="preserve"/>
      </w:r>
    </w:p>
    <w:p>
      <w:pPr>
        <w:spacing w:after="60" w:before="160"/>
      </w:pPr>
      <w:r>
        <w:rPr>
          <w:rFonts w:ascii="Arial" w:cs="Arial" w:eastAsia="Arial" w:hAnsi="Arial"/>
          <w:b/>
          <w:bCs/>
          <w:i/>
          <w:iCs/>
          <w:color w:val="2E5BA8"/>
          <w:sz w:val="22"/>
          <w:szCs w:val="22"/>
        </w:rPr>
        <w:t xml:space="preserve">Festividades h(t)</w:t>
      </w:r>
    </w:p>
    <w:p>
      <w:pPr>
        <w:spacing w:after="80" w:before="80"/>
        <w:jc w:val="both"/>
      </w:pPr>
      <w:r>
        <w:rPr>
          <w:rFonts w:ascii="Arial" w:cs="Arial" w:eastAsia="Arial" w:hAnsi="Arial"/>
          <w:color w:val="333333"/>
          <w:sz w:val="22"/>
          <w:szCs w:val="22"/>
        </w:rPr>
        <w:t xml:space="preserve">Prophet permite incorporar explícitamente el efecto de días festivos y eventos especiales sobre la demanda. En el contexto chileno, esto incluye: Fiestas Patrias (18-19 septiembre), Navidad, CyberDay, Año Nuevo y otros feriados nacionales. La librería incluye calendarios de feriados por país, incluyendo Chile.</w:t>
      </w:r>
    </w:p>
    <w:p>
      <w:pPr>
        <w:spacing w:after="60" w:before="60"/>
      </w:pPr>
      <w:r>
        <w:t xml:space="preserve"/>
      </w:r>
    </w:p>
    <w:p>
      <w:pPr>
        <w:spacing w:after="80" w:before="220"/>
      </w:pPr>
      <w:r>
        <w:rPr>
          <w:rFonts w:ascii="Arial" w:cs="Arial" w:eastAsia="Arial" w:hAnsi="Arial"/>
          <w:b/>
          <w:bCs/>
          <w:color w:val="1A1A2E"/>
          <w:sz w:val="24"/>
          <w:szCs w:val="24"/>
        </w:rPr>
        <w:t xml:space="preserve">2.5.3 Ventajas para el contexto de esta tesis</w:t>
      </w:r>
    </w:p>
    <w:p>
      <w:pPr>
        <w:spacing w:after="80" w:before="80"/>
        <w:jc w:val="both"/>
      </w:pPr>
      <w:r>
        <w:rPr>
          <w:rFonts w:ascii="Arial" w:cs="Arial" w:eastAsia="Arial" w:hAnsi="Arial"/>
          <w:color w:val="333333"/>
          <w:sz w:val="22"/>
          <w:szCs w:val="22"/>
        </w:rPr>
        <w:t xml:space="preserve">Prophet fue diseñado explícitamente para series de negocio con las características típicas de distribuidoras: datos diarios con múltiples estacionalidades, ausencia de algunos días, efectos de feriados y tendencias cambiantes. Vilchez et al. (2024) reportan un MAPE promedio de 6.5% con Prophet en datos de PYMEs latinoamericanas 2021–2023, con reducción del 22% en inventario inmovilizado, constituyendo el benchmark regional más relevante para esta tesis.</w:t>
      </w:r>
    </w:p>
    <w:p>
      <w:pPr>
        <w:spacing w:after="60" w:before="60"/>
      </w:pPr>
      <w:r>
        <w:t xml:space="preserve"/>
      </w:r>
    </w:p>
    <w:p>
      <w:pPr>
        <w:spacing w:after="80" w:before="220"/>
      </w:pPr>
      <w:r>
        <w:rPr>
          <w:rFonts w:ascii="Arial" w:cs="Arial" w:eastAsia="Arial" w:hAnsi="Arial"/>
          <w:b/>
          <w:bCs/>
          <w:color w:val="1A1A2E"/>
          <w:sz w:val="24"/>
          <w:szCs w:val="24"/>
        </w:rPr>
        <w:t xml:space="preserve">2.5.4 Fortalezas y limitaciones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Fortalezas</w:t>
            </w:r>
          </w:p>
        </w:tc>
        <w:tc>
          <w:tcPr>
            <w:tcW w:type="dxa" w:w="58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Limitaciones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Manejo nativo de múltiples estacionalidades y feriados — clave para calendario comercial chileno</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No modela autocorrelación — puede ser superado por ARIMA en series muy regulares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Robusto ante datos faltantes y outliers sin preprocesamiento manual</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Mayor costo computacional que ARIMA para series largas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Altamente interpretable — los componentes son visualizables</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Rendimiento inferior a modelos ML cuando hay muchas variables externas disponibles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Configuración mínima requerida — adecuado para automatización masiva por SKU</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Puede sobreajustar en series cortas (&lt; 6 meses de historial)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AEEDA" w:val="clear"/>
            <w:tcMar>
              <w:top w:type="dxa" w:w="120"/>
              <w:left w:type="dxa" w:w="200"/>
              <w:bottom w:type="dxa" w:w="120"/>
              <w:right w:type="dxa" w:w="200"/>
            </w:tcMar>
          </w:tcPr>
          <w:p>
            <w:r>
              <w:rPr>
                <w:rFonts w:ascii="Arial" w:cs="Arial" w:eastAsia="Arial" w:hAnsi="Arial"/>
                <w:b/>
                <w:bCs/>
                <w:color w:val="633806"/>
                <w:sz w:val="24"/>
                <w:szCs w:val="24"/>
              </w:rPr>
              <w:t xml:space="preserve">Modelo 3 — XGBoost (Extreme Gradient Boosting)</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2.6 Modelo XGBoost</w:t>
      </w:r>
    </w:p>
    <w:p>
      <w:pPr>
        <w:spacing w:after="80" w:before="220"/>
      </w:pPr>
      <w:r>
        <w:rPr>
          <w:rFonts w:ascii="Arial" w:cs="Arial" w:eastAsia="Arial" w:hAnsi="Arial"/>
          <w:b/>
          <w:bCs/>
          <w:color w:val="1A1A2E"/>
          <w:sz w:val="24"/>
          <w:szCs w:val="24"/>
        </w:rPr>
        <w:t xml:space="preserve">2.6.1 Fundamentos teóricos</w:t>
      </w:r>
    </w:p>
    <w:p>
      <w:pPr>
        <w:spacing w:after="80" w:before="80"/>
        <w:jc w:val="both"/>
      </w:pPr>
      <w:r>
        <w:rPr>
          <w:rFonts w:ascii="Arial" w:cs="Arial" w:eastAsia="Arial" w:hAnsi="Arial"/>
          <w:color w:val="333333"/>
          <w:sz w:val="22"/>
          <w:szCs w:val="22"/>
        </w:rPr>
        <w:t xml:space="preserve">XGBoost (Extreme Gradient Boosting) es un algoritmo de aprendizaje automático basado en árboles de decisión con boosting por gradiente. Fue desarrollado por Chen &amp; Guestrin (2016) y se ha consolidado como uno de los modelos más competitivos en competencias de predicción tabular (Kaggle). A diferencia de ARIMA y Prophet, XGBoost no asume ninguna estructura temporal en los datos: el tiempo se incorpora como variables de entrada (features) construidas manualmente.</w:t>
      </w:r>
    </w:p>
    <w:p>
      <w:pPr>
        <w:spacing w:after="60" w:before="60"/>
      </w:pPr>
      <w:r>
        <w:t xml:space="preserve"/>
      </w:r>
    </w:p>
    <w:p>
      <w:pPr>
        <w:spacing w:after="80" w:before="220"/>
      </w:pPr>
      <w:r>
        <w:rPr>
          <w:rFonts w:ascii="Arial" w:cs="Arial" w:eastAsia="Arial" w:hAnsi="Arial"/>
          <w:b/>
          <w:bCs/>
          <w:color w:val="1A1A2E"/>
          <w:sz w:val="24"/>
          <w:szCs w:val="24"/>
        </w:rPr>
        <w:t xml:space="preserve">2.6.2 Adaptación para series temporales: feature engineering</w:t>
      </w:r>
    </w:p>
    <w:p>
      <w:pPr>
        <w:spacing w:after="80" w:before="80"/>
        <w:jc w:val="both"/>
      </w:pPr>
      <w:r>
        <w:rPr>
          <w:rFonts w:ascii="Arial" w:cs="Arial" w:eastAsia="Arial" w:hAnsi="Arial"/>
          <w:color w:val="333333"/>
          <w:sz w:val="22"/>
          <w:szCs w:val="22"/>
        </w:rPr>
        <w:t xml:space="preserve">Para aplicar XGBoost a series temporales de ventas, la serie original se transforma en un problema de regresión supervisada mediante la construcción de un conjunto de features temporales: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Tipo de feature</w:t>
            </w:r>
          </w:p>
        </w:tc>
        <w:tc>
          <w:tcPr>
            <w:tcW w:type="dxa" w:w="58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Ejemplos implementados en esta tesis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Features de lag</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Ventas t-1, t-7, t-14, t-30 (ventas del día anterior, semana anterior, etc.)</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Features de ventana móvil</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Media móvil 7 días, 14 días, 30 días; desviación estándar móvil</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Features de calendario</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Día de la semana, día del mes, mes, trimestre, año, semana del año</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Features de eventos</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Indicador binario de feriado, días antes/después de CyberDay y fiestas patrias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Features de tendencia</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Número de día desde inicio del historial (tendencia lineal proxy)</w:t>
            </w:r>
          </w:p>
        </w:tc>
      </w:tr>
    </w:tbl>
    <w:p>
      <w:pPr>
        <w:spacing w:after="60" w:before="60"/>
      </w:pPr>
      <w:r>
        <w:t xml:space="preserve"/>
      </w:r>
    </w:p>
    <w:p>
      <w:pPr>
        <w:spacing w:after="80" w:before="220"/>
      </w:pPr>
      <w:r>
        <w:rPr>
          <w:rFonts w:ascii="Arial" w:cs="Arial" w:eastAsia="Arial" w:hAnsi="Arial"/>
          <w:b/>
          <w:bCs/>
          <w:color w:val="1A1A2E"/>
          <w:sz w:val="24"/>
          <w:szCs w:val="24"/>
        </w:rPr>
        <w:t xml:space="preserve">2.6.3 Mecanismo de boosting por gradiente</w:t>
      </w:r>
    </w:p>
    <w:p>
      <w:pPr>
        <w:spacing w:after="80" w:before="80"/>
        <w:jc w:val="both"/>
      </w:pPr>
      <w:r>
        <w:rPr>
          <w:rFonts w:ascii="Arial" w:cs="Arial" w:eastAsia="Arial" w:hAnsi="Arial"/>
          <w:color w:val="333333"/>
          <w:sz w:val="22"/>
          <w:szCs w:val="22"/>
        </w:rPr>
        <w:t xml:space="preserve">XGBoost construye un ensamble de árboles de decisión de forma secuencial: cada árbol nuevo se entrena para corregir los errores residuales del ensamble anterior. La predicción final es la suma ponderada de las predicciones de todos los árboles:</w:t>
      </w:r>
    </w:p>
    <w:p>
      <w:pPr>
        <w:spacing w:after="120" w:before="120"/>
        <w:jc w:val="center"/>
      </w:pPr>
      <w:r>
        <w:rPr>
          <w:rFonts w:ascii="Courier New" w:cs="Courier New" w:eastAsia="Courier New" w:hAnsi="Courier New"/>
          <w:b/>
          <w:bCs/>
          <w:color w:val="1A1A2E"/>
          <w:sz w:val="22"/>
          <w:szCs w:val="22"/>
        </w:rPr>
        <w:t xml:space="preserve">ŷ_t = Σₖ fₖ(xₜ)   donde fₖ es el k-ésimo árbol</w:t>
      </w:r>
    </w:p>
    <w:p>
      <w:pPr>
        <w:spacing w:after="80" w:before="80"/>
        <w:jc w:val="both"/>
      </w:pPr>
      <w:r>
        <w:rPr>
          <w:rFonts w:ascii="Arial" w:cs="Arial" w:eastAsia="Arial" w:hAnsi="Arial"/>
          <w:color w:val="333333"/>
          <w:sz w:val="22"/>
          <w:szCs w:val="22"/>
        </w:rPr>
        <w:t xml:space="preserve">La función objetivo incluye una penalización de regularización L1 y L2 sobre la complejidad de los árboles, lo que controla el sobreajuste. Los hiperparámetros más relevantes son: número de árboles (n_estimators), profundidad máxima (max_depth), tasa de aprendizaje (learning_rate) y submuestreo de datos y features.</w:t>
      </w:r>
    </w:p>
    <w:p>
      <w:pPr>
        <w:spacing w:after="60" w:before="60"/>
      </w:pPr>
      <w:r>
        <w:t xml:space="preserve"/>
      </w:r>
    </w:p>
    <w:p>
      <w:pPr>
        <w:spacing w:after="80" w:before="220"/>
      </w:pPr>
      <w:r>
        <w:rPr>
          <w:rFonts w:ascii="Arial" w:cs="Arial" w:eastAsia="Arial" w:hAnsi="Arial"/>
          <w:b/>
          <w:bCs/>
          <w:color w:val="1A1A2E"/>
          <w:sz w:val="24"/>
          <w:szCs w:val="24"/>
        </w:rPr>
        <w:t xml:space="preserve">2.6.4 Evidencia empírica relevante</w:t>
      </w:r>
    </w:p>
    <w:p>
      <w:pPr>
        <w:spacing w:after="80" w:before="80"/>
        <w:jc w:val="both"/>
      </w:pPr>
      <w:r>
        <w:rPr>
          <w:rFonts w:ascii="Arial" w:cs="Arial" w:eastAsia="Arial" w:hAnsi="Arial"/>
          <w:color w:val="333333"/>
          <w:sz w:val="22"/>
          <w:szCs w:val="22"/>
        </w:rPr>
        <w:t xml:space="preserve">Rivadeneira et al. (2025) demuestran que XGBoost con variables externas (día de semana, mes, feriados) alcanza un MAE de 22.7, superando a ARIMAX y Prophet en un contexto de inventario retail. Zhang et al. (citado en MDPI, 2023) reportan que modelos basados en árboles de decisión, entrenados con features de clima y temperatura, logran el mejor rendimiento entre cinco modelos comparados —incluyendo ARIMA, LSTM y Prophet— en predicción de volumen de ventas retail.</w:t>
      </w:r>
    </w:p>
    <w:p>
      <w:pPr>
        <w:spacing w:after="60" w:before="60"/>
      </w:pPr>
      <w:r>
        <w:t xml:space="preserve"/>
      </w:r>
    </w:p>
    <w:p>
      <w:pPr>
        <w:spacing w:after="80" w:before="220"/>
      </w:pPr>
      <w:r>
        <w:rPr>
          <w:rFonts w:ascii="Arial" w:cs="Arial" w:eastAsia="Arial" w:hAnsi="Arial"/>
          <w:b/>
          <w:bCs/>
          <w:color w:val="1A1A2E"/>
          <w:sz w:val="24"/>
          <w:szCs w:val="24"/>
        </w:rPr>
        <w:t xml:space="preserve">2.6.5 Fortalezas y limitaciones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Fortalezas</w:t>
            </w:r>
          </w:p>
        </w:tc>
        <w:tc>
          <w:tcPr>
            <w:tcW w:type="dxa" w:w="58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Limitaciones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Captura relaciones no-lineales y efectos de interacción entre variables — imposibles para ARIMA</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Requiere feature engineering manual — mayor esfuerzo de preparación de datos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Rendimiento superior cuando se dispone de variables externas ricas (feriados, promociones, clima)</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Puede sobreajustar si no se regula la complejidad con validación cruzada temporal</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Nativo para predicción tabular — no requiere que la serie sea estacionaria</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No captura dependencias temporales de largo plazo tan bien como LSTM</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Entrenamiento rápido y escalable — eficiente para miles de SKUs en paralelo</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Menor interpretabilidad que ARIMA o Prophet para usuarios no técnicos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AECE7" w:val="clear"/>
            <w:tcMar>
              <w:top w:type="dxa" w:w="120"/>
              <w:left w:type="dxa" w:w="200"/>
              <w:bottom w:type="dxa" w:w="120"/>
              <w:right w:type="dxa" w:w="200"/>
            </w:tcMar>
          </w:tcPr>
          <w:p>
            <w:r>
              <w:rPr>
                <w:rFonts w:ascii="Arial" w:cs="Arial" w:eastAsia="Arial" w:hAnsi="Arial"/>
                <w:b/>
                <w:bCs/>
                <w:color w:val="4A1B0C"/>
                <w:sz w:val="24"/>
                <w:szCs w:val="24"/>
              </w:rPr>
              <w:t xml:space="preserve">Modelo 4 — LSTM (Long Short-Term Memory)</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2.7 Modelo LSTM</w:t>
      </w:r>
    </w:p>
    <w:p>
      <w:pPr>
        <w:spacing w:after="80" w:before="220"/>
      </w:pPr>
      <w:r>
        <w:rPr>
          <w:rFonts w:ascii="Arial" w:cs="Arial" w:eastAsia="Arial" w:hAnsi="Arial"/>
          <w:b/>
          <w:bCs/>
          <w:color w:val="1A1A2E"/>
          <w:sz w:val="24"/>
          <w:szCs w:val="24"/>
        </w:rPr>
        <w:t xml:space="preserve">2.7.1 Fundamentos teóricos</w:t>
      </w:r>
    </w:p>
    <w:p>
      <w:pPr>
        <w:spacing w:after="80" w:before="80"/>
        <w:jc w:val="both"/>
      </w:pPr>
      <w:r>
        <w:rPr>
          <w:rFonts w:ascii="Arial" w:cs="Arial" w:eastAsia="Arial" w:hAnsi="Arial"/>
          <w:color w:val="333333"/>
          <w:sz w:val="22"/>
          <w:szCs w:val="22"/>
        </w:rPr>
        <w:t xml:space="preserve">Las redes Long Short-Term Memory (LSTM) son un tipo de red neuronal recurrente (RNN) diseñadas para capturar dependencias de largo plazo en secuencias temporales. Fueron introducidas por Hochreiter &amp; Schmidhuber (1997) y superan la limitación de las RNN clásicas de olvidar información distante en el tiempo (problema del gradiente que desvanece).</w:t>
      </w:r>
    </w:p>
    <w:p>
      <w:pPr>
        <w:spacing w:after="60" w:before="60"/>
      </w:pPr>
      <w:r>
        <w:t xml:space="preserve"/>
      </w:r>
    </w:p>
    <w:p>
      <w:pPr>
        <w:spacing w:after="80" w:before="220"/>
      </w:pPr>
      <w:r>
        <w:rPr>
          <w:rFonts w:ascii="Arial" w:cs="Arial" w:eastAsia="Arial" w:hAnsi="Arial"/>
          <w:b/>
          <w:bCs/>
          <w:color w:val="1A1A2E"/>
          <w:sz w:val="24"/>
          <w:szCs w:val="24"/>
        </w:rPr>
        <w:t xml:space="preserve">2.7.2 Arquitectura de la celda LSTM</w:t>
      </w:r>
    </w:p>
    <w:p>
      <w:pPr>
        <w:spacing w:after="80" w:before="80"/>
        <w:jc w:val="both"/>
      </w:pPr>
      <w:r>
        <w:rPr>
          <w:rFonts w:ascii="Arial" w:cs="Arial" w:eastAsia="Arial" w:hAnsi="Arial"/>
          <w:color w:val="333333"/>
          <w:sz w:val="22"/>
          <w:szCs w:val="22"/>
        </w:rPr>
        <w:t xml:space="preserve">La unidad fundamental del LSTM es la celda de memoria, que mantiene un estado interno (cell state) que fluye a través del tiempo con modificaciones controladas por tres puertas (gates):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Puerta (gate)</w:t>
            </w:r>
          </w:p>
        </w:tc>
        <w:tc>
          <w:tcPr>
            <w:tcW w:type="dxa" w:w="58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Función</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Puerta de olvido (forget gate)</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Decide qué información del estado anterior se descarta. Salida entre 0 (olvidar todo) y 1 (recordar todo).</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Puerta de entrada (input gate)</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Decide qué nueva información se agrega al estado de celda. Combina una función sigmoide con tanh.</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Puerta de salida (output gate)</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Determina qué parte del estado de celda se emite como salida de la celda en el tiempo actual.</w:t>
            </w:r>
          </w:p>
        </w:tc>
      </w:tr>
    </w:tbl>
    <w:p>
      <w:pPr>
        <w:spacing w:after="60" w:before="60"/>
      </w:pPr>
      <w:r>
        <w:t xml:space="preserve"/>
      </w:r>
    </w:p>
    <w:p>
      <w:pPr>
        <w:spacing w:after="80" w:before="80"/>
        <w:jc w:val="both"/>
      </w:pPr>
      <w:r>
        <w:rPr>
          <w:rFonts w:ascii="Arial" w:cs="Arial" w:eastAsia="Arial" w:hAnsi="Arial"/>
          <w:color w:val="333333"/>
          <w:sz w:val="22"/>
          <w:szCs w:val="22"/>
        </w:rPr>
        <w:t xml:space="preserve">Esta arquitectura permite al LSTM recordar selectivamente patrones relevantes de la serie histórica a largo plazo (por ejemplo, el comportamiento de un SKU en la misma semana del año anterior) mientras olvida información irrelevante.</w:t>
      </w:r>
    </w:p>
    <w:p>
      <w:pPr>
        <w:spacing w:after="60" w:before="60"/>
      </w:pPr>
      <w:r>
        <w:t xml:space="preserve"/>
      </w:r>
    </w:p>
    <w:p>
      <w:pPr>
        <w:spacing w:after="80" w:before="220"/>
      </w:pPr>
      <w:r>
        <w:rPr>
          <w:rFonts w:ascii="Arial" w:cs="Arial" w:eastAsia="Arial" w:hAnsi="Arial"/>
          <w:b/>
          <w:bCs/>
          <w:color w:val="1A1A2E"/>
          <w:sz w:val="24"/>
          <w:szCs w:val="24"/>
        </w:rPr>
        <w:t xml:space="preserve">2.7.3 Implementación para forecasting de ventas</w:t>
      </w:r>
    </w:p>
    <w:p>
      <w:pPr>
        <w:spacing w:after="80" w:before="80"/>
        <w:jc w:val="both"/>
      </w:pPr>
      <w:r>
        <w:rPr>
          <w:rFonts w:ascii="Arial" w:cs="Arial" w:eastAsia="Arial" w:hAnsi="Arial"/>
          <w:color w:val="333333"/>
          <w:sz w:val="22"/>
          <w:szCs w:val="22"/>
        </w:rPr>
        <w:t xml:space="preserve">En esta tesis, el LSTM se implementa con una ventana deslizante (sliding window) de </w:t>
      </w:r>
      <w:r>
        <w:rPr>
          <w:rFonts w:ascii="Arial" w:cs="Arial" w:eastAsia="Arial" w:hAnsi="Arial"/>
          <w:b/>
          <w:bCs/>
          <w:color w:val="333333"/>
          <w:sz w:val="22"/>
          <w:szCs w:val="22"/>
        </w:rPr>
        <w:t xml:space="preserve">30 días</w:t>
      </w:r>
      <w:r>
        <w:rPr>
          <w:rFonts w:ascii="Arial" w:cs="Arial" w:eastAsia="Arial" w:hAnsi="Arial"/>
          <w:color w:val="333333"/>
          <w:sz w:val="22"/>
          <w:szCs w:val="22"/>
        </w:rPr>
        <w:t xml:space="preserve"> como secuencia de entrada y un horizonte de predicción de 1, 7, 14 o 30 días como salida. La arquitectura propuesta es:</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Capa de entrada: secuencia de 30 pasos temporales con features de ventas normalizadas.</w:t>
      </w:r>
    </w:p>
    <w:p>
      <w:pPr>
        <w:pStyle w:val="ListParagraph"/>
        <w:numPr>
          <w:ilvl w:val="0"/>
          <w:numId w:val="2"/>
        </w:numPr>
        <w:spacing w:after="60" w:before="60"/>
      </w:pPr>
      <w:r>
        <w:rPr>
          <w:rFonts w:ascii="Arial" w:cs="Arial" w:eastAsia="Arial" w:hAnsi="Arial"/>
          <w:color w:val="333333"/>
          <w:sz w:val="22"/>
          <w:szCs w:val="22"/>
        </w:rPr>
        <w:t xml:space="preserve">2 capas LSTM apiladas con 64 y 32 unidades respectivamente, con dropout del 20% para regularización.</w:t>
      </w:r>
    </w:p>
    <w:p>
      <w:pPr>
        <w:pStyle w:val="ListParagraph"/>
        <w:numPr>
          <w:ilvl w:val="0"/>
          <w:numId w:val="2"/>
        </w:numPr>
        <w:spacing w:after="60" w:before="60"/>
      </w:pPr>
      <w:r>
        <w:rPr>
          <w:rFonts w:ascii="Arial" w:cs="Arial" w:eastAsia="Arial" w:hAnsi="Arial"/>
          <w:color w:val="333333"/>
          <w:sz w:val="22"/>
          <w:szCs w:val="22"/>
        </w:rPr>
        <w:t xml:space="preserve">Capa densa (fully connected) de salida con activación lineal.</w:t>
      </w:r>
    </w:p>
    <w:p>
      <w:pPr>
        <w:pStyle w:val="ListParagraph"/>
        <w:numPr>
          <w:ilvl w:val="0"/>
          <w:numId w:val="2"/>
        </w:numPr>
        <w:spacing w:after="60" w:before="60"/>
      </w:pPr>
      <w:r>
        <w:rPr>
          <w:rFonts w:ascii="Arial" w:cs="Arial" w:eastAsia="Arial" w:hAnsi="Arial"/>
          <w:b/>
          <w:bCs/>
          <w:color w:val="333333"/>
          <w:sz w:val="22"/>
          <w:szCs w:val="22"/>
        </w:rPr>
        <w:t xml:space="preserve">Normalización:</w:t>
      </w:r>
      <w:r>
        <w:rPr>
          <w:rFonts w:ascii="Arial" w:cs="Arial" w:eastAsia="Arial" w:hAnsi="Arial"/>
          <w:color w:val="333333"/>
          <w:sz w:val="22"/>
          <w:szCs w:val="22"/>
        </w:rPr>
        <w:t xml:space="preserve"> MinMaxScaler por SKU antes del entrenamiento — esencial para la convergencia del modelo.</w:t>
      </w:r>
    </w:p>
    <w:p>
      <w:pPr>
        <w:spacing w:after="60" w:before="60"/>
      </w:pPr>
      <w:r>
        <w:t xml:space="preserve"/>
      </w:r>
    </w:p>
    <w:p>
      <w:pPr>
        <w:spacing w:after="80" w:before="220"/>
      </w:pPr>
      <w:r>
        <w:rPr>
          <w:rFonts w:ascii="Arial" w:cs="Arial" w:eastAsia="Arial" w:hAnsi="Arial"/>
          <w:b/>
          <w:bCs/>
          <w:color w:val="1A1A2E"/>
          <w:sz w:val="24"/>
          <w:szCs w:val="24"/>
        </w:rPr>
        <w:t xml:space="preserve">2.7.4 Requerimientos de datos</w:t>
      </w:r>
    </w:p>
    <w:p>
      <w:pPr>
        <w:spacing w:after="80" w:before="80"/>
        <w:jc w:val="both"/>
      </w:pPr>
      <w:r>
        <w:rPr>
          <w:rFonts w:ascii="Arial" w:cs="Arial" w:eastAsia="Arial" w:hAnsi="Arial"/>
          <w:color w:val="333333"/>
          <w:sz w:val="22"/>
          <w:szCs w:val="22"/>
        </w:rPr>
        <w:t xml:space="preserve">El LSTM es el modelo que más datos históricos requiere para generalizar correctamente. La revisión de literatura 2018–2025 (Preprints.org, 2026) indica que LSTM necesita al menos 12–18 meses de datos diarios por SKU para superar consistentemente a modelos estadísticos. El dataset Kaggle utilizado en esta tesis —con 5 años de historial diario— es suficiente para un entrenamiento adecuado.</w:t>
      </w:r>
    </w:p>
    <w:p>
      <w:pPr>
        <w:spacing w:after="60" w:before="60"/>
      </w:pPr>
      <w:r>
        <w:t xml:space="preserve"/>
      </w:r>
    </w:p>
    <w:p>
      <w:pPr>
        <w:spacing w:after="80" w:before="220"/>
      </w:pPr>
      <w:r>
        <w:rPr>
          <w:rFonts w:ascii="Arial" w:cs="Arial" w:eastAsia="Arial" w:hAnsi="Arial"/>
          <w:b/>
          <w:bCs/>
          <w:color w:val="1A1A2E"/>
          <w:sz w:val="24"/>
          <w:szCs w:val="24"/>
        </w:rPr>
        <w:t xml:space="preserve">2.7.5 Fortalezas y limitaciones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Fortalezas</w:t>
            </w:r>
          </w:p>
        </w:tc>
        <w:tc>
          <w:tcPr>
            <w:tcW w:type="dxa" w:w="58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Limitaciones</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Captura dependencias temporales de largo plazo — patrones que ARIMA y XGBoost pierden</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Mayor costo computacional — requiere GPU para entrenamiento eficiente a escala</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Aprende automáticamente representaciones relevantes de la serie sin feature engineering</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Necesita más datos históricos que los otros modelos (mínimo 12 meses diarios por SKU)</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Rendimiento superior en series complejas con patrones no-lineales y multivariados</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Hiperparámetros difíciles de tunar — requiere búsqueda sistemática</w:t>
            </w:r>
          </w:p>
        </w:tc>
      </w:tr>
      <w:tr>
        <w:trPr>
          <w:tblHeader w:val="false"/>
        </w:trP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Extensible a arquitecturas multivariadas (agregar features externas como covariables)</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color w:val="333333"/>
                <w:sz w:val="20"/>
                <w:szCs w:val="20"/>
              </w:rPr>
              <w:t xml:space="preserve">Menor interpretabilidad — comportamiento de caja negra respecto a ARIMA y Prophet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3E5F5" w:val="clear"/>
            <w:tcMar>
              <w:top w:type="dxa" w:w="120"/>
              <w:left w:type="dxa" w:w="200"/>
              <w:bottom w:type="dxa" w:w="120"/>
              <w:right w:type="dxa" w:w="200"/>
            </w:tcMar>
          </w:tcPr>
          <w:p>
            <w:r>
              <w:rPr>
                <w:rFonts w:ascii="Arial" w:cs="Arial" w:eastAsia="Arial" w:hAnsi="Arial"/>
                <w:b/>
                <w:bCs/>
                <w:color w:val="4A148C"/>
                <w:sz w:val="24"/>
                <w:szCs w:val="24"/>
              </w:rPr>
              <w:t xml:space="preserve">Componente central — Selector automático de modelo por SKU</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2.8 Selección automática de modelo por SKU</w:t>
      </w:r>
    </w:p>
    <w:p>
      <w:pPr>
        <w:spacing w:after="80" w:before="220"/>
      </w:pPr>
      <w:r>
        <w:rPr>
          <w:rFonts w:ascii="Arial" w:cs="Arial" w:eastAsia="Arial" w:hAnsi="Arial"/>
          <w:b/>
          <w:bCs/>
          <w:color w:val="1A1A2E"/>
          <w:sz w:val="24"/>
          <w:szCs w:val="24"/>
        </w:rPr>
        <w:t xml:space="preserve">2.8.1 Justificación</w:t>
      </w:r>
    </w:p>
    <w:p>
      <w:pPr>
        <w:spacing w:after="80" w:before="80"/>
        <w:jc w:val="both"/>
      </w:pPr>
      <w:r>
        <w:rPr>
          <w:rFonts w:ascii="Arial" w:cs="Arial" w:eastAsia="Arial" w:hAnsi="Arial"/>
          <w:color w:val="333333"/>
          <w:sz w:val="22"/>
          <w:szCs w:val="22"/>
        </w:rPr>
        <w:t xml:space="preserve">La revisión de literatura establece con claridad que no existe un modelo de forecasting universalmente superior para todos los tipos de demanda. ARIMA es óptimo para series lineales y estables; Prophet para series con múltiple estacionalidad y efectos de feriados; XGBoost cuando hay variables externas ricas disponibles; y LSTM para series largas con patrones no-lineales complejos. Esta heterogeneidad es especialmente pronunciada en distribuidoras con catálogos de cientos a miles de SKUs de naturalezas muy distintas.</w:t>
      </w:r>
    </w:p>
    <w:p>
      <w:pPr>
        <w:spacing w:after="60" w:before="60"/>
      </w:pPr>
      <w:r>
        <w:t xml:space="preserve"/>
      </w:r>
    </w:p>
    <w:p>
      <w:pPr>
        <w:spacing w:after="80" w:before="80"/>
        <w:jc w:val="both"/>
      </w:pPr>
      <w:r>
        <w:rPr>
          <w:rFonts w:ascii="Arial" w:cs="Arial" w:eastAsia="Arial" w:hAnsi="Arial"/>
          <w:color w:val="333333"/>
          <w:sz w:val="22"/>
          <w:szCs w:val="22"/>
        </w:rPr>
        <w:t xml:space="preserve">El componente de selección automática —denominado en esta tesis Automated Model Selector (AMS)— evalúa los cuatro modelos sobre cada SKU individual y asigna automáticamente el mejor modelo según el error de validación, sin intervención humana.</w:t>
      </w:r>
    </w:p>
    <w:p>
      <w:pPr>
        <w:spacing w:after="60" w:before="60"/>
      </w:pPr>
      <w:r>
        <w:t xml:space="preserve"/>
      </w:r>
    </w:p>
    <w:p>
      <w:pPr>
        <w:spacing w:after="80" w:before="220"/>
      </w:pPr>
      <w:r>
        <w:rPr>
          <w:rFonts w:ascii="Arial" w:cs="Arial" w:eastAsia="Arial" w:hAnsi="Arial"/>
          <w:b/>
          <w:bCs/>
          <w:color w:val="1A1A2E"/>
          <w:sz w:val="24"/>
          <w:szCs w:val="24"/>
        </w:rPr>
        <w:t xml:space="preserve">2.8.2 Procedimiento de validación</w:t>
      </w:r>
    </w:p>
    <w:p>
      <w:pPr>
        <w:spacing w:after="80" w:before="80"/>
        <w:jc w:val="both"/>
      </w:pPr>
      <w:r>
        <w:rPr>
          <w:rFonts w:ascii="Arial" w:cs="Arial" w:eastAsia="Arial" w:hAnsi="Arial"/>
          <w:color w:val="333333"/>
          <w:sz w:val="22"/>
          <w:szCs w:val="22"/>
        </w:rPr>
        <w:t xml:space="preserve">Para cada SKU, se aplica validación caminante (walk-forward validation o time series cross-validation), que respeta el orden temporal de los datos:</w:t>
      </w:r>
    </w:p>
    <w:p>
      <w:pPr>
        <w:spacing w:after="60" w:before="60"/>
      </w:pPr>
      <w:r>
        <w:t xml:space="preserve"/>
      </w:r>
    </w:p>
    <w:p>
      <w:pPr>
        <w:pStyle w:val="ListParagraph"/>
        <w:numPr>
          <w:ilvl w:val="0"/>
          <w:numId w:val="2"/>
        </w:numPr>
        <w:spacing w:after="60" w:before="60"/>
      </w:pPr>
      <w:r>
        <w:rPr>
          <w:rFonts w:ascii="Arial" w:cs="Arial" w:eastAsia="Arial" w:hAnsi="Arial"/>
          <w:b/>
          <w:bCs/>
          <w:color w:val="333333"/>
          <w:sz w:val="22"/>
          <w:szCs w:val="22"/>
        </w:rPr>
        <w:t xml:space="preserve">Partición temporal:</w:t>
      </w:r>
      <w:r>
        <w:rPr>
          <w:rFonts w:ascii="Arial" w:cs="Arial" w:eastAsia="Arial" w:hAnsi="Arial"/>
          <w:color w:val="333333"/>
          <w:sz w:val="22"/>
          <w:szCs w:val="22"/>
        </w:rPr>
        <w:t xml:space="preserve"> 70% del historial para entrenamiento, 15% para validación, 15% para prueba final.</w:t>
      </w:r>
    </w:p>
    <w:p>
      <w:pPr>
        <w:pStyle w:val="ListParagraph"/>
        <w:numPr>
          <w:ilvl w:val="0"/>
          <w:numId w:val="2"/>
        </w:numPr>
        <w:spacing w:after="60" w:before="60"/>
      </w:pPr>
      <w:r>
        <w:rPr>
          <w:rFonts w:ascii="Arial" w:cs="Arial" w:eastAsia="Arial" w:hAnsi="Arial"/>
          <w:b/>
          <w:bCs/>
          <w:color w:val="333333"/>
          <w:sz w:val="22"/>
          <w:szCs w:val="22"/>
        </w:rPr>
        <w:t xml:space="preserve">Criterio de selección:</w:t>
      </w:r>
      <w:r>
        <w:rPr>
          <w:rFonts w:ascii="Arial" w:cs="Arial" w:eastAsia="Arial" w:hAnsi="Arial"/>
          <w:color w:val="333333"/>
          <w:sz w:val="22"/>
          <w:szCs w:val="22"/>
        </w:rPr>
        <w:t xml:space="preserve"> el modelo con menor MAPE en el conjunto de validación es asignado como modelo oficial del SKU.</w:t>
      </w:r>
    </w:p>
    <w:p>
      <w:pPr>
        <w:pStyle w:val="ListParagraph"/>
        <w:numPr>
          <w:ilvl w:val="0"/>
          <w:numId w:val="2"/>
        </w:numPr>
        <w:spacing w:after="60" w:before="60"/>
      </w:pPr>
      <w:r>
        <w:rPr>
          <w:rFonts w:ascii="Arial" w:cs="Arial" w:eastAsia="Arial" w:hAnsi="Arial"/>
          <w:b/>
          <w:bCs/>
          <w:color w:val="333333"/>
          <w:sz w:val="22"/>
          <w:szCs w:val="22"/>
        </w:rPr>
        <w:t xml:space="preserve">Criterio alternativo:</w:t>
      </w:r>
      <w:r>
        <w:rPr>
          <w:rFonts w:ascii="Arial" w:cs="Arial" w:eastAsia="Arial" w:hAnsi="Arial"/>
          <w:color w:val="333333"/>
          <w:sz w:val="22"/>
          <w:szCs w:val="22"/>
        </w:rPr>
        <w:t xml:space="preserve"> si el MAPE no está definido (SKU con períodos de demanda cero ≥ 20%), se usa RMSE como criterio.</w:t>
      </w:r>
    </w:p>
    <w:p>
      <w:pPr>
        <w:pStyle w:val="ListParagraph"/>
        <w:numPr>
          <w:ilvl w:val="0"/>
          <w:numId w:val="2"/>
        </w:numPr>
        <w:spacing w:after="60" w:before="60"/>
      </w:pPr>
      <w:r>
        <w:rPr>
          <w:rFonts w:ascii="Arial" w:cs="Arial" w:eastAsia="Arial" w:hAnsi="Arial"/>
          <w:b/>
          <w:bCs/>
          <w:color w:val="333333"/>
          <w:sz w:val="22"/>
          <w:szCs w:val="22"/>
        </w:rPr>
        <w:t xml:space="preserve">Re-entrenamiento:</w:t>
      </w:r>
      <w:r>
        <w:rPr>
          <w:rFonts w:ascii="Arial" w:cs="Arial" w:eastAsia="Arial" w:hAnsi="Arial"/>
          <w:color w:val="333333"/>
          <w:sz w:val="22"/>
          <w:szCs w:val="22"/>
        </w:rPr>
        <w:t xml:space="preserve"> el modelo seleccionado se re-entrena con el 85% de los datos (train + validación) antes de generar predicciones finales sobre el conjunto de prueba.</w:t>
      </w:r>
    </w:p>
    <w:p>
      <w:pPr>
        <w:spacing w:after="60" w:before="60"/>
      </w:pPr>
      <w:r>
        <w:t xml:space="preserve"/>
      </w:r>
    </w:p>
    <w:p>
      <w:pPr>
        <w:spacing w:after="80" w:before="220"/>
      </w:pPr>
      <w:r>
        <w:rPr>
          <w:rFonts w:ascii="Arial" w:cs="Arial" w:eastAsia="Arial" w:hAnsi="Arial"/>
          <w:b/>
          <w:bCs/>
          <w:color w:val="1A1A2E"/>
          <w:sz w:val="24"/>
          <w:szCs w:val="24"/>
        </w:rPr>
        <w:t xml:space="preserve">2.8.3 Aporte diferenciador respecto a trabajos relacionados</w:t>
      </w:r>
    </w:p>
    <w:p>
      <w:pPr>
        <w:spacing w:after="80" w:before="80"/>
        <w:jc w:val="both"/>
      </w:pPr>
      <w:r>
        <w:rPr>
          <w:rFonts w:ascii="Arial" w:cs="Arial" w:eastAsia="Arial" w:hAnsi="Arial"/>
          <w:color w:val="333333"/>
          <w:sz w:val="22"/>
          <w:szCs w:val="22"/>
        </w:rPr>
        <w:t xml:space="preserve">Goulart et al. (2026) —el trabajo relacionado más cercano a esta tesis— utilizan AutoML propietario de AWS aplicado de forma homogénea a todos los SKUs de una distribuidora brasileña. Los propios autores identifican como limitación la ausencia de comparación explícita entre modelos y la falta de selección adaptativa por producto. El Automated Model Selector de esta tesis aborda directamente estas limitaciones, constituyendo el aporte metodológico original de la investigación.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AEEDA" w:val="clear"/>
            <w:tcMar>
              <w:top w:type="dxa" w:w="120"/>
              <w:left w:type="dxa" w:w="200"/>
              <w:bottom w:type="dxa" w:w="120"/>
              <w:right w:type="dxa" w:w="200"/>
            </w:tcMar>
          </w:tcPr>
          <w:p>
            <w:pPr>
              <w:spacing w:after="60" w:before="0"/>
            </w:pPr>
            <w:r>
              <w:rPr>
                <w:rFonts w:ascii="Arial" w:cs="Arial" w:eastAsia="Arial" w:hAnsi="Arial"/>
                <w:b/>
                <w:bCs/>
                <w:color w:val="633806"/>
                <w:sz w:val="20"/>
                <w:szCs w:val="20"/>
              </w:rPr>
              <w:t xml:space="preserve">Hipótesis que el AMS busca validar</w:t>
            </w:r>
          </w:p>
          <w:p>
            <w:pPr>
              <w:jc w:val="both"/>
            </w:pPr>
            <w:r>
              <w:rPr>
                <w:rFonts w:ascii="Arial" w:cs="Arial" w:eastAsia="Arial" w:hAnsi="Arial"/>
                <w:color w:val="1A1A2E"/>
                <w:sz w:val="21"/>
                <w:szCs w:val="21"/>
              </w:rPr>
              <w:t xml:space="preserve">"La selección automática del modelo de forecasting por SKU, basada en el error de validación de cada modelo sobre los datos históricos del producto, reduce el error de predicción agregado (MAPE promedio) en al menos un 15% respecto a un sistema que aplica un único modelo de forecasting a todos los SKUs."</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2.9 Resumen comparativo de modelos</w:t>
      </w:r>
    </w:p>
    <w:p>
      <w:pPr>
        <w:spacing w:after="80" w:before="80"/>
        <w:jc w:val="both"/>
      </w:pPr>
      <w:r>
        <w:rPr>
          <w:rFonts w:ascii="Arial" w:cs="Arial" w:eastAsia="Arial" w:hAnsi="Arial"/>
          <w:color w:val="333333"/>
          <w:sz w:val="22"/>
          <w:szCs w:val="22"/>
        </w:rPr>
        <w:t xml:space="preserve">La siguiente tabla sintetiza las características de los cuatro modelos evaluados en esta tesis y los escenarios de demanda en los que se espera que cada uno sea seleccionado por el AMS: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DDDDDD" w:sz="1"/>
              <w:left w:val="single" w:color="DDDDDD" w:sz="1"/>
              <w:bottom w:val="single" w:color="DDDDDD" w:sz="1"/>
              <w:right w:val="single" w:color="DDDDDD" w:sz="1"/>
            </w:tcBorders>
            <w:shd w:fill="2E5BA8" w:val="clear"/>
            <w:tcMar>
              <w:top w:type="dxa" w:w="80"/>
              <w:left w:type="dxa" w:w="100"/>
              <w:bottom w:type="dxa" w:w="80"/>
              <w:right w:type="dxa" w:w="100"/>
            </w:tcMar>
          </w:tcPr>
          <w:p>
            <w:r>
              <w:rPr>
                <w:rFonts w:ascii="Arial" w:cs="Arial" w:eastAsia="Arial" w:hAnsi="Arial"/>
                <w:b/>
                <w:bCs/>
                <w:color w:val="FFFFFF"/>
                <w:sz w:val="19"/>
                <w:szCs w:val="19"/>
              </w:rPr>
              <w:t xml:space="preserve">Atributo</w:t>
            </w:r>
          </w:p>
        </w:tc>
        <w:tc>
          <w:tcPr>
            <w:tcW w:type="dxa" w:w="1800"/>
            <w:tcBorders>
              <w:top w:val="single" w:color="DDDDDD" w:sz="1"/>
              <w:left w:val="single" w:color="DDDDDD" w:sz="1"/>
              <w:bottom w:val="single" w:color="DDDDDD" w:sz="1"/>
              <w:right w:val="single" w:color="DDDDDD" w:sz="1"/>
            </w:tcBorders>
            <w:shd w:fill="2E5BA8" w:val="clear"/>
            <w:tcMar>
              <w:top w:type="dxa" w:w="80"/>
              <w:left w:type="dxa" w:w="100"/>
              <w:bottom w:type="dxa" w:w="80"/>
              <w:right w:type="dxa" w:w="100"/>
            </w:tcMar>
          </w:tcPr>
          <w:p>
            <w:r>
              <w:rPr>
                <w:rFonts w:ascii="Arial" w:cs="Arial" w:eastAsia="Arial" w:hAnsi="Arial"/>
                <w:b/>
                <w:bCs/>
                <w:color w:val="FFFFFF"/>
                <w:sz w:val="19"/>
                <w:szCs w:val="19"/>
              </w:rPr>
              <w:t xml:space="preserve">ARIMA</w:t>
            </w:r>
          </w:p>
        </w:tc>
        <w:tc>
          <w:tcPr>
            <w:tcW w:type="dxa" w:w="1800"/>
            <w:tcBorders>
              <w:top w:val="single" w:color="DDDDDD" w:sz="1"/>
              <w:left w:val="single" w:color="DDDDDD" w:sz="1"/>
              <w:bottom w:val="single" w:color="DDDDDD" w:sz="1"/>
              <w:right w:val="single" w:color="DDDDDD" w:sz="1"/>
            </w:tcBorders>
            <w:shd w:fill="2E5BA8" w:val="clear"/>
            <w:tcMar>
              <w:top w:type="dxa" w:w="80"/>
              <w:left w:type="dxa" w:w="100"/>
              <w:bottom w:type="dxa" w:w="80"/>
              <w:right w:type="dxa" w:w="100"/>
            </w:tcMar>
          </w:tcPr>
          <w:p>
            <w:r>
              <w:rPr>
                <w:rFonts w:ascii="Arial" w:cs="Arial" w:eastAsia="Arial" w:hAnsi="Arial"/>
                <w:b/>
                <w:bCs/>
                <w:color w:val="FFFFFF"/>
                <w:sz w:val="19"/>
                <w:szCs w:val="19"/>
              </w:rPr>
              <w:t xml:space="preserve">Prophet</w:t>
            </w:r>
          </w:p>
        </w:tc>
        <w:tc>
          <w:tcPr>
            <w:tcW w:type="dxa" w:w="1800"/>
            <w:tcBorders>
              <w:top w:val="single" w:color="DDDDDD" w:sz="1"/>
              <w:left w:val="single" w:color="DDDDDD" w:sz="1"/>
              <w:bottom w:val="single" w:color="DDDDDD" w:sz="1"/>
              <w:right w:val="single" w:color="DDDDDD" w:sz="1"/>
            </w:tcBorders>
            <w:shd w:fill="2E5BA8" w:val="clear"/>
            <w:tcMar>
              <w:top w:type="dxa" w:w="80"/>
              <w:left w:type="dxa" w:w="100"/>
              <w:bottom w:type="dxa" w:w="80"/>
              <w:right w:type="dxa" w:w="100"/>
            </w:tcMar>
          </w:tcPr>
          <w:p>
            <w:r>
              <w:rPr>
                <w:rFonts w:ascii="Arial" w:cs="Arial" w:eastAsia="Arial" w:hAnsi="Arial"/>
                <w:b/>
                <w:bCs/>
                <w:color w:val="FFFFFF"/>
                <w:sz w:val="19"/>
                <w:szCs w:val="19"/>
              </w:rPr>
              <w:t xml:space="preserve">XGBoost</w:t>
            </w:r>
          </w:p>
        </w:tc>
        <w:tc>
          <w:tcPr>
            <w:tcW w:type="dxa" w:w="1826"/>
            <w:tcBorders>
              <w:top w:val="single" w:color="DDDDDD" w:sz="1"/>
              <w:left w:val="single" w:color="DDDDDD" w:sz="1"/>
              <w:bottom w:val="single" w:color="DDDDDD" w:sz="1"/>
              <w:right w:val="single" w:color="DDDDDD" w:sz="1"/>
            </w:tcBorders>
            <w:shd w:fill="2E5BA8" w:val="clear"/>
            <w:tcMar>
              <w:top w:type="dxa" w:w="80"/>
              <w:left w:type="dxa" w:w="100"/>
              <w:bottom w:type="dxa" w:w="80"/>
              <w:right w:type="dxa" w:w="100"/>
            </w:tcMar>
          </w:tcPr>
          <w:p>
            <w:r>
              <w:rPr>
                <w:rFonts w:ascii="Arial" w:cs="Arial" w:eastAsia="Arial" w:hAnsi="Arial"/>
                <w:b/>
                <w:bCs/>
                <w:color w:val="FFFFFF"/>
                <w:sz w:val="19"/>
                <w:szCs w:val="19"/>
              </w:rPr>
              <w:t xml:space="preserve">LSTM</w:t>
            </w:r>
          </w:p>
        </w:tc>
      </w:tr>
      <w:tr>
        <w:tc>
          <w:tcPr>
            <w:tcW w:type="dxa" w:w="1800"/>
            <w:tcBorders>
              <w:top w:val="single" w:color="DDDDDD" w:sz="1"/>
              <w:left w:val="single" w:color="DDDDDD" w:sz="1"/>
              <w:bottom w:val="single" w:color="DDDDDD" w:sz="1"/>
              <w:right w:val="single" w:color="DDDDDD" w:sz="1"/>
            </w:tcBorders>
            <w:shd w:fill="F5F7FA" w:val="clear"/>
            <w:tcMar>
              <w:top w:type="dxa" w:w="70"/>
              <w:left w:type="dxa" w:w="100"/>
              <w:bottom w:type="dxa" w:w="70"/>
              <w:right w:type="dxa" w:w="100"/>
            </w:tcMar>
          </w:tcPr>
          <w:p>
            <w:pPr>
              <w:jc w:val="left"/>
            </w:pPr>
            <w:r>
              <w:rPr>
                <w:rFonts w:ascii="Arial" w:cs="Arial" w:eastAsia="Arial" w:hAnsi="Arial"/>
                <w:b/>
                <w:bCs/>
                <w:color w:val="333333"/>
                <w:sz w:val="19"/>
                <w:szCs w:val="19"/>
              </w:rPr>
              <w:t xml:space="preserve">Familia</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Estadístico</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Estadístico (GAM)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ML — Árboles</w:t>
            </w:r>
          </w:p>
        </w:tc>
        <w:tc>
          <w:tcPr>
            <w:tcW w:type="dxa" w:w="1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ML — Deep Learning</w:t>
            </w:r>
          </w:p>
        </w:tc>
      </w:tr>
      <w:tr>
        <w:tc>
          <w:tcPr>
            <w:tcW w:type="dxa" w:w="1800"/>
            <w:tcBorders>
              <w:top w:val="single" w:color="DDDDDD" w:sz="1"/>
              <w:left w:val="single" w:color="DDDDDD" w:sz="1"/>
              <w:bottom w:val="single" w:color="DDDDDD" w:sz="1"/>
              <w:right w:val="single" w:color="DDDDDD" w:sz="1"/>
            </w:tcBorders>
            <w:shd w:fill="F5F7FA" w:val="clear"/>
            <w:tcMar>
              <w:top w:type="dxa" w:w="70"/>
              <w:left w:type="dxa" w:w="100"/>
              <w:bottom w:type="dxa" w:w="70"/>
              <w:right w:type="dxa" w:w="100"/>
            </w:tcMar>
          </w:tcPr>
          <w:p>
            <w:pPr>
              <w:jc w:val="left"/>
            </w:pPr>
            <w:r>
              <w:rPr>
                <w:rFonts w:ascii="Arial" w:cs="Arial" w:eastAsia="Arial" w:hAnsi="Arial"/>
                <w:b/>
                <w:bCs/>
                <w:color w:val="333333"/>
                <w:sz w:val="19"/>
                <w:szCs w:val="19"/>
              </w:rPr>
              <w:t xml:space="preserve">Tipo de patrón óptimo</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Lineal, estable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Multi-estacional, feriados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Influenciado por variables externas</w:t>
            </w:r>
          </w:p>
        </w:tc>
        <w:tc>
          <w:tcPr>
            <w:tcW w:type="dxa" w:w="1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No-lineal, largo plazo</w:t>
            </w:r>
          </w:p>
        </w:tc>
      </w:tr>
      <w:tr>
        <w:tc>
          <w:tcPr>
            <w:tcW w:type="dxa" w:w="1800"/>
            <w:tcBorders>
              <w:top w:val="single" w:color="DDDDDD" w:sz="1"/>
              <w:left w:val="single" w:color="DDDDDD" w:sz="1"/>
              <w:bottom w:val="single" w:color="DDDDDD" w:sz="1"/>
              <w:right w:val="single" w:color="DDDDDD" w:sz="1"/>
            </w:tcBorders>
            <w:shd w:fill="F5F7FA" w:val="clear"/>
            <w:tcMar>
              <w:top w:type="dxa" w:w="70"/>
              <w:left w:type="dxa" w:w="100"/>
              <w:bottom w:type="dxa" w:w="70"/>
              <w:right w:type="dxa" w:w="100"/>
            </w:tcMar>
          </w:tcPr>
          <w:p>
            <w:pPr>
              <w:jc w:val="left"/>
            </w:pPr>
            <w:r>
              <w:rPr>
                <w:rFonts w:ascii="Arial" w:cs="Arial" w:eastAsia="Arial" w:hAnsi="Arial"/>
                <w:b/>
                <w:bCs/>
                <w:color w:val="333333"/>
                <w:sz w:val="19"/>
                <w:szCs w:val="19"/>
              </w:rPr>
              <w:t xml:space="preserve">Requiere estacionariedad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Sí</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No</w:t>
            </w:r>
          </w:p>
        </w:tc>
        <w:tc>
          <w:tcPr>
            <w:tcW w:type="dxa" w:w="1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No</w:t>
            </w:r>
          </w:p>
        </w:tc>
      </w:tr>
      <w:tr>
        <w:tc>
          <w:tcPr>
            <w:tcW w:type="dxa" w:w="1800"/>
            <w:tcBorders>
              <w:top w:val="single" w:color="DDDDDD" w:sz="1"/>
              <w:left w:val="single" w:color="DDDDDD" w:sz="1"/>
              <w:bottom w:val="single" w:color="DDDDDD" w:sz="1"/>
              <w:right w:val="single" w:color="DDDDDD" w:sz="1"/>
            </w:tcBorders>
            <w:shd w:fill="F5F7FA" w:val="clear"/>
            <w:tcMar>
              <w:top w:type="dxa" w:w="70"/>
              <w:left w:type="dxa" w:w="100"/>
              <w:bottom w:type="dxa" w:w="70"/>
              <w:right w:type="dxa" w:w="100"/>
            </w:tcMar>
          </w:tcPr>
          <w:p>
            <w:pPr>
              <w:jc w:val="left"/>
            </w:pPr>
            <w:r>
              <w:rPr>
                <w:rFonts w:ascii="Arial" w:cs="Arial" w:eastAsia="Arial" w:hAnsi="Arial"/>
                <w:b/>
                <w:bCs/>
                <w:color w:val="333333"/>
                <w:sz w:val="19"/>
                <w:szCs w:val="19"/>
              </w:rPr>
              <w:t xml:space="preserve">Feature engineering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Sí (intensivo)</w:t>
            </w:r>
          </w:p>
        </w:tc>
        <w:tc>
          <w:tcPr>
            <w:tcW w:type="dxa" w:w="1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Mínimo (lags)</w:t>
            </w:r>
          </w:p>
        </w:tc>
      </w:tr>
      <w:tr>
        <w:tc>
          <w:tcPr>
            <w:tcW w:type="dxa" w:w="1800"/>
            <w:tcBorders>
              <w:top w:val="single" w:color="DDDDDD" w:sz="1"/>
              <w:left w:val="single" w:color="DDDDDD" w:sz="1"/>
              <w:bottom w:val="single" w:color="DDDDDD" w:sz="1"/>
              <w:right w:val="single" w:color="DDDDDD" w:sz="1"/>
            </w:tcBorders>
            <w:shd w:fill="F5F7FA" w:val="clear"/>
            <w:tcMar>
              <w:top w:type="dxa" w:w="70"/>
              <w:left w:type="dxa" w:w="100"/>
              <w:bottom w:type="dxa" w:w="70"/>
              <w:right w:type="dxa" w:w="100"/>
            </w:tcMar>
          </w:tcPr>
          <w:p>
            <w:pPr>
              <w:jc w:val="left"/>
            </w:pPr>
            <w:r>
              <w:rPr>
                <w:rFonts w:ascii="Arial" w:cs="Arial" w:eastAsia="Arial" w:hAnsi="Arial"/>
                <w:b/>
                <w:bCs/>
                <w:color w:val="333333"/>
                <w:sz w:val="19"/>
                <w:szCs w:val="19"/>
              </w:rPr>
              <w:t xml:space="preserve">Datos mínimos (diarios)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3–6 meses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6–12 meses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6–12 meses</w:t>
            </w:r>
          </w:p>
        </w:tc>
        <w:tc>
          <w:tcPr>
            <w:tcW w:type="dxa" w:w="1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12–18 meses</w:t>
            </w:r>
          </w:p>
        </w:tc>
      </w:tr>
      <w:tr>
        <w:tc>
          <w:tcPr>
            <w:tcW w:type="dxa" w:w="1800"/>
            <w:tcBorders>
              <w:top w:val="single" w:color="DDDDDD" w:sz="1"/>
              <w:left w:val="single" w:color="DDDDDD" w:sz="1"/>
              <w:bottom w:val="single" w:color="DDDDDD" w:sz="1"/>
              <w:right w:val="single" w:color="DDDDDD" w:sz="1"/>
            </w:tcBorders>
            <w:shd w:fill="F5F7FA" w:val="clear"/>
            <w:tcMar>
              <w:top w:type="dxa" w:w="70"/>
              <w:left w:type="dxa" w:w="100"/>
              <w:bottom w:type="dxa" w:w="70"/>
              <w:right w:type="dxa" w:w="100"/>
            </w:tcMar>
          </w:tcPr>
          <w:p>
            <w:pPr>
              <w:jc w:val="left"/>
            </w:pPr>
            <w:r>
              <w:rPr>
                <w:rFonts w:ascii="Arial" w:cs="Arial" w:eastAsia="Arial" w:hAnsi="Arial"/>
                <w:b/>
                <w:bCs/>
                <w:color w:val="333333"/>
                <w:sz w:val="19"/>
                <w:szCs w:val="19"/>
              </w:rPr>
              <w:t xml:space="preserve">Costo computacional</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Muy bajo</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Bajo</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Bajo</w:t>
            </w:r>
          </w:p>
        </w:tc>
        <w:tc>
          <w:tcPr>
            <w:tcW w:type="dxa" w:w="1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Alto</w:t>
            </w:r>
          </w:p>
        </w:tc>
      </w:tr>
      <w:tr>
        <w:tc>
          <w:tcPr>
            <w:tcW w:type="dxa" w:w="1800"/>
            <w:tcBorders>
              <w:top w:val="single" w:color="DDDDDD" w:sz="1"/>
              <w:left w:val="single" w:color="DDDDDD" w:sz="1"/>
              <w:bottom w:val="single" w:color="DDDDDD" w:sz="1"/>
              <w:right w:val="single" w:color="DDDDDD" w:sz="1"/>
            </w:tcBorders>
            <w:shd w:fill="F5F7FA" w:val="clear"/>
            <w:tcMar>
              <w:top w:type="dxa" w:w="70"/>
              <w:left w:type="dxa" w:w="100"/>
              <w:bottom w:type="dxa" w:w="70"/>
              <w:right w:type="dxa" w:w="100"/>
            </w:tcMar>
          </w:tcPr>
          <w:p>
            <w:pPr>
              <w:jc w:val="left"/>
            </w:pPr>
            <w:r>
              <w:rPr>
                <w:rFonts w:ascii="Arial" w:cs="Arial" w:eastAsia="Arial" w:hAnsi="Arial"/>
                <w:b/>
                <w:bCs/>
                <w:color w:val="333333"/>
                <w:sz w:val="19"/>
                <w:szCs w:val="19"/>
              </w:rPr>
              <w:t xml:space="preserve">Interpretabilidad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Alta</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Alta</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Media</w:t>
            </w:r>
          </w:p>
        </w:tc>
        <w:tc>
          <w:tcPr>
            <w:tcW w:type="dxa" w:w="1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Baja</w:t>
            </w:r>
          </w:p>
        </w:tc>
      </w:tr>
      <w:tr>
        <w:tc>
          <w:tcPr>
            <w:tcW w:type="dxa" w:w="1800"/>
            <w:tcBorders>
              <w:top w:val="single" w:color="DDDDDD" w:sz="1"/>
              <w:left w:val="single" w:color="DDDDDD" w:sz="1"/>
              <w:bottom w:val="single" w:color="DDDDDD" w:sz="1"/>
              <w:right w:val="single" w:color="DDDDDD" w:sz="1"/>
            </w:tcBorders>
            <w:shd w:fill="F5F7FA" w:val="clear"/>
            <w:tcMar>
              <w:top w:type="dxa" w:w="70"/>
              <w:left w:type="dxa" w:w="100"/>
              <w:bottom w:type="dxa" w:w="70"/>
              <w:right w:type="dxa" w:w="100"/>
            </w:tcMar>
          </w:tcPr>
          <w:p>
            <w:pPr>
              <w:jc w:val="left"/>
            </w:pPr>
            <w:r>
              <w:rPr>
                <w:rFonts w:ascii="Arial" w:cs="Arial" w:eastAsia="Arial" w:hAnsi="Arial"/>
                <w:b/>
                <w:bCs/>
                <w:color w:val="333333"/>
                <w:sz w:val="19"/>
                <w:szCs w:val="19"/>
              </w:rPr>
              <w:t xml:space="preserve">Librería Python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statsmodels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prophet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xgboost</w:t>
            </w:r>
          </w:p>
        </w:tc>
        <w:tc>
          <w:tcPr>
            <w:tcW w:type="dxa" w:w="1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left"/>
            </w:pPr>
            <w:r>
              <w:rPr>
                <w:rFonts w:ascii="Arial" w:cs="Arial" w:eastAsia="Arial" w:hAnsi="Arial"/>
                <w:b w:val="false"/>
                <w:bCs w:val="false"/>
                <w:color w:val="333333"/>
                <w:sz w:val="19"/>
                <w:szCs w:val="19"/>
              </w:rPr>
              <w:t xml:space="preserve">PyTorch</w:t>
            </w:r>
          </w:p>
        </w:tc>
      </w:tr>
    </w:tbl>
    <w:p>
      <w:pPr>
        <w:spacing w:after="60" w:before="60"/>
      </w:pPr>
      <w:r>
        <w:t xml:space="preserve"/>
      </w:r>
    </w:p>
    <w:p>
      <w:pPr>
        <w:spacing w:after="60" w:before="60"/>
      </w:pPr>
      <w:r>
        <w:t xml:space="preserve"/>
      </w:r>
    </w:p>
    <w:p>
      <w:pPr>
        <w:pBdr>
          <w:top w:val="single" w:color="CCCCCC" w:sz="4" w:space="8"/>
        </w:pBdr>
        <w:spacing w:after="80" w:before="240"/>
      </w:pPr>
      <w:r>
        <w:rPr>
          <w:rFonts w:ascii="Arial" w:cs="Arial" w:eastAsia="Arial" w:hAnsi="Arial"/>
          <w:b/>
          <w:bCs/>
          <w:color w:val="1A1A2E"/>
          <w:sz w:val="22"/>
          <w:szCs w:val="22"/>
        </w:rPr>
        <w:t xml:space="preserve">Referencias citadas en este capítulo</w:t>
      </w:r>
    </w:p>
    <w:p>
      <w:pPr>
        <w:spacing w:after="60" w:before="60"/>
      </w:pPr>
      <w:r>
        <w:t xml:space="preserve"/>
      </w:r>
    </w:p>
    <w:p>
      <w:pPr>
        <w:pStyle w:val="ListParagraph"/>
        <w:numPr>
          <w:ilvl w:val="0"/>
          <w:numId w:val="2"/>
        </w:numPr>
        <w:spacing w:after="60" w:before="60"/>
        <w:ind w:left="720" w:hanging="360"/>
      </w:pPr>
      <w:r>
        <w:rPr>
          <w:rFonts w:ascii="Arial" w:cs="Arial" w:eastAsia="Arial" w:hAnsi="Arial"/>
          <w:color w:val="444444"/>
          <w:sz w:val="20"/>
          <w:szCs w:val="20"/>
        </w:rPr>
        <w:t xml:space="preserve">Brykin, D. (2024). Sales forecasting models comparison between ARIMA, LSTM and Prophet. Journal of Computer Science, 20(10), 1222–1230.</w:t>
      </w:r>
    </w:p>
    <w:p>
      <w:pPr>
        <w:pStyle w:val="ListParagraph"/>
        <w:numPr>
          <w:ilvl w:val="0"/>
          <w:numId w:val="2"/>
        </w:numPr>
        <w:spacing w:after="60" w:before="60"/>
        <w:ind w:left="720" w:hanging="360"/>
      </w:pPr>
      <w:r>
        <w:rPr>
          <w:rFonts w:ascii="Arial" w:cs="Arial" w:eastAsia="Arial" w:hAnsi="Arial"/>
          <w:color w:val="444444"/>
          <w:sz w:val="20"/>
          <w:szCs w:val="20"/>
        </w:rPr>
        <w:t xml:space="preserve">Chen, T., &amp; Guestrin, C. (2016). XGBoost: A scalable tree boosting system. Proceedings of the 22nd ACM SIGKDD International Conference on Knowledge Discovery and Data Mining.</w:t>
      </w:r>
    </w:p>
    <w:p>
      <w:pPr>
        <w:pStyle w:val="ListParagraph"/>
        <w:numPr>
          <w:ilvl w:val="0"/>
          <w:numId w:val="2"/>
        </w:numPr>
        <w:spacing w:after="60" w:before="60"/>
        <w:ind w:left="720" w:hanging="360"/>
      </w:pPr>
      <w:r>
        <w:rPr>
          <w:rFonts w:ascii="Arial" w:cs="Arial" w:eastAsia="Arial" w:hAnsi="Arial"/>
          <w:color w:val="444444"/>
          <w:sz w:val="20"/>
          <w:szCs w:val="20"/>
        </w:rPr>
        <w:t xml:space="preserve">Hochreiter, S., &amp; Schmidhuber, J. (1997). Long short-term memory. Neural Computation, 9(8), 1735–1780.</w:t>
      </w:r>
    </w:p>
    <w:p>
      <w:pPr>
        <w:pStyle w:val="ListParagraph"/>
        <w:numPr>
          <w:ilvl w:val="0"/>
          <w:numId w:val="2"/>
        </w:numPr>
        <w:spacing w:after="60" w:before="60"/>
        <w:ind w:left="720" w:hanging="360"/>
      </w:pPr>
      <w:r>
        <w:rPr>
          <w:rFonts w:ascii="Arial" w:cs="Arial" w:eastAsia="Arial" w:hAnsi="Arial"/>
          <w:color w:val="444444"/>
          <w:sz w:val="20"/>
          <w:szCs w:val="20"/>
        </w:rPr>
        <w:t xml:space="preserve">Moran, C. et al. (2024). Automated demand forecasting in small to medium-sized enterprises. arXiv preprint, arXiv:2412.20420.</w:t>
      </w:r>
    </w:p>
    <w:p>
      <w:pPr>
        <w:pStyle w:val="ListParagraph"/>
        <w:numPr>
          <w:ilvl w:val="0"/>
          <w:numId w:val="2"/>
        </w:numPr>
        <w:spacing w:after="60" w:before="60"/>
        <w:ind w:left="720" w:hanging="360"/>
      </w:pPr>
      <w:r>
        <w:rPr>
          <w:rFonts w:ascii="Arial" w:cs="Arial" w:eastAsia="Arial" w:hAnsi="Arial"/>
          <w:color w:val="444444"/>
          <w:sz w:val="20"/>
          <w:szCs w:val="20"/>
        </w:rPr>
        <w:t xml:space="preserve">Preprints.org (2026). Comparative study of ARIMA, LSTM and Prophet models for time series forecasting: A comprehensive review. Preprints.org, arXiv:202601.1377.</w:t>
      </w:r>
    </w:p>
    <w:p>
      <w:pPr>
        <w:pStyle w:val="ListParagraph"/>
        <w:numPr>
          <w:ilvl w:val="0"/>
          <w:numId w:val="2"/>
        </w:numPr>
        <w:spacing w:after="60" w:before="60"/>
        <w:ind w:left="720" w:hanging="360"/>
      </w:pPr>
      <w:r>
        <w:rPr>
          <w:rFonts w:ascii="Arial" w:cs="Arial" w:eastAsia="Arial" w:hAnsi="Arial"/>
          <w:color w:val="444444"/>
          <w:sz w:val="20"/>
          <w:szCs w:val="20"/>
        </w:rPr>
        <w:t xml:space="preserve">Rivadeneira, A. et al. (2025). A data-driven predictive framework for inventory optimization using context-augmented machine learning models. arXiv preprint, arXiv:2601.05033.</w:t>
      </w:r>
    </w:p>
    <w:p>
      <w:pPr>
        <w:pStyle w:val="ListParagraph"/>
        <w:numPr>
          <w:ilvl w:val="0"/>
          <w:numId w:val="2"/>
        </w:numPr>
        <w:spacing w:after="60" w:before="60"/>
        <w:ind w:left="720" w:hanging="360"/>
      </w:pPr>
      <w:r>
        <w:rPr>
          <w:rFonts w:ascii="Arial" w:cs="Arial" w:eastAsia="Arial" w:hAnsi="Arial"/>
          <w:color w:val="444444"/>
          <w:sz w:val="20"/>
          <w:szCs w:val="20"/>
        </w:rPr>
        <w:t xml:space="preserve">Taylor, S. J., &amp; Letham, B. (2018). Forecasting at scale. The American Statistician, 72(1), 37–45.</w:t>
      </w:r>
    </w:p>
    <w:p>
      <w:pPr>
        <w:pStyle w:val="ListParagraph"/>
        <w:numPr>
          <w:ilvl w:val="0"/>
          <w:numId w:val="2"/>
        </w:numPr>
        <w:spacing w:after="60" w:before="60"/>
        <w:ind w:left="720" w:hanging="360"/>
      </w:pPr>
      <w:r>
        <w:rPr>
          <w:rFonts w:ascii="Arial" w:cs="Arial" w:eastAsia="Arial" w:hAnsi="Arial"/>
          <w:color w:val="444444"/>
          <w:sz w:val="20"/>
          <w:szCs w:val="20"/>
        </w:rPr>
        <w:t xml:space="preserve">Vilchez, R. et al. (2024). Optimización de inventarios en PYMEs retail: Un enfoque basado en Prophet y Python. ResearchGate / Preprint.</w:t>
      </w:r>
    </w:p>
    <w:p>
      <w:pPr>
        <w:pStyle w:val="ListParagraph"/>
        <w:numPr>
          <w:ilvl w:val="0"/>
          <w:numId w:val="2"/>
        </w:numPr>
        <w:spacing w:after="60" w:before="60"/>
        <w:ind w:left="720" w:hanging="360"/>
      </w:pPr>
      <w:r>
        <w:rPr>
          <w:rFonts w:ascii="Arial" w:cs="Arial" w:eastAsia="Arial" w:hAnsi="Arial"/>
          <w:color w:val="444444"/>
          <w:sz w:val="20"/>
          <w:szCs w:val="20"/>
        </w:rPr>
        <w:t xml:space="preserve">Goulart, D. D. et al. (2026). Predictive models for inventory optimization: a machine learning application for demand forecasting at a construction supplies distributor. Future Business Journal, 12, Article 92. https://doi.org/10.1186/s43093-026-00807-8</w:t>
      </w:r>
    </w:p>
    <w:p>
      <w:pPr>
        <w:spacing w:after="60" w:before="60"/>
      </w:pPr>
      <w:r>
        <w:t xml:space="preserve"/>
      </w:r>
    </w:p>
    <w:p>
      <w:pPr>
        <w:spacing w:before="100"/>
      </w:pPr>
      <w:r>
        <w:rPr>
          <w:rFonts w:ascii="Arial" w:cs="Arial" w:eastAsia="Arial" w:hAnsi="Arial"/>
          <w:i/>
          <w:iCs/>
          <w:color w:val="888888"/>
          <w:sz w:val="18"/>
          <w:szCs w:val="18"/>
        </w:rPr>
        <w:t xml:space="preserve">Documento — Mayo 2025  |  Integrante 1 — Módulo de Forecasting.</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Tesis — Marco Teórico: Modelos de Forecasting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2026-04-28T20:32:13.216Z</dcterms:created>
  <dcterms:modified xsi:type="dcterms:W3CDTF">2026-04-28T20:32:13.217Z</dcterms:modified>
</cp:coreProperties>
</file>

<file path=docProps/custom.xml><?xml version="1.0" encoding="utf-8"?>
<Properties xmlns="http://schemas.openxmlformats.org/officeDocument/2006/custom-properties" xmlns:vt="http://schemas.openxmlformats.org/officeDocument/2006/docPropsVTypes"/>
</file>