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800"/>
        <w:jc w:val="center"/>
      </w:pPr>
      <w:r>
        <w:rPr>
          <w:rFonts w:ascii="Arial" w:cs="Arial" w:eastAsia="Arial" w:hAnsi="Arial"/>
          <w:b/>
          <w:bCs/>
          <w:color w:val="1A1A2E"/>
          <w:sz w:val="28"/>
          <w:szCs w:val="28"/>
        </w:rPr>
        <w:t xml:space="preserve">UNIVERSIDAD ANDRÉS BELLO</w:t>
      </w:r>
    </w:p>
    <w:p>
      <w:pPr>
        <w:spacing w:after="80" w:before="0"/>
        <w:jc w:val="center"/>
      </w:pPr>
      <w:r>
        <w:rPr>
          <w:rFonts w:ascii="Arial" w:cs="Arial" w:eastAsia="Arial" w:hAnsi="Arial"/>
          <w:color w:val="666666"/>
          <w:sz w:val="22"/>
          <w:szCs w:val="22"/>
        </w:rPr>
        <w:t xml:space="preserve">Ingeniería Civil en Informática — Proyecto de Tesis</w:t>
      </w:r>
    </w:p>
    <w:p>
      <w:pPr>
        <w:spacing w:after="60" w:before="60"/>
      </w:pPr>
      <w:r>
        <w:t xml:space="preserve"/>
      </w:r>
    </w:p>
    <w:p>
      <w:pPr>
        <w:pBdr>
          <w:bottom w:val="single" w:color="2E5BA8" w:sz="6" w:space="8"/>
        </w:pBdr>
        <w:spacing w:after="300" w:before="300"/>
        <w:jc w:val="center"/>
      </w:pPr>
      <w:r>
        <w:rPr>
          <w:rFonts w:ascii="Arial" w:cs="Arial" w:eastAsia="Arial" w:hAnsi="Arial"/>
          <w:b/>
          <w:bCs/>
          <w:color w:val="1A1A2E"/>
          <w:sz w:val="36"/>
          <w:szCs w:val="36"/>
        </w:rPr>
        <w:t xml:space="preserve">Marco Teórico — Modelos de Inventario y Métricas de Evaluación</w:t>
      </w:r>
    </w:p>
    <w:p>
      <w:pPr>
        <w:spacing w:after="60" w:before="200"/>
        <w:jc w:val="center"/>
      </w:pPr>
      <w:r>
        <w:rPr>
          <w:rFonts w:ascii="Arial" w:cs="Arial" w:eastAsia="Arial" w:hAnsi="Arial"/>
          <w:b/>
          <w:bCs/>
          <w:color w:val="2E5BA8"/>
          <w:sz w:val="24"/>
          <w:szCs w:val="24"/>
        </w:rPr>
        <w:t xml:space="preserve">Plataforma de Predicción de Demanda y Reabastecimiento Automático para Distribuidoras</w:t>
      </w:r>
    </w:p>
    <w:p>
      <w:pPr>
        <w:spacing w:after="60" w:before="60"/>
        <w:jc w:val="center"/>
      </w:pPr>
      <w:r>
        <w:rPr>
          <w:rFonts w:ascii="Arial" w:cs="Arial" w:eastAsia="Arial" w:hAnsi="Arial"/>
          <w:color w:val="888888"/>
          <w:sz w:val="20"/>
          <w:szCs w:val="20"/>
        </w:rPr>
        <w:t xml:space="preserve">Mayo 2025  —  Fase 2 · Responsable: Integrante 2</w:t>
      </w:r>
    </w:p>
    <w:p>
      <w:pPr>
        <w:spacing w:after="60" w:before="6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DDDDD" w:sz="1"/>
              <w:left w:val="single" w:color="DDDDDD" w:sz="1"/>
              <w:bottom w:val="single" w:color="DDDDDD" w:sz="1"/>
              <w:right w:val="single" w:color="DDDDDD" w:sz="1"/>
            </w:tcBorders>
            <w:shd w:fill="1A1A2E" w:val="clear"/>
            <w:tcMar>
              <w:top w:type="dxa" w:w="120"/>
              <w:left w:type="dxa" w:w="200"/>
              <w:bottom w:type="dxa" w:w="120"/>
              <w:right w:type="dxa" w:w="200"/>
            </w:tcMar>
          </w:tcPr>
          <w:p>
            <w:r>
              <w:rPr>
                <w:rFonts w:ascii="Arial" w:cs="Arial" w:eastAsia="Arial" w:hAnsi="Arial"/>
                <w:b/>
                <w:bCs/>
                <w:color w:val="FFFFFF"/>
                <w:sz w:val="24"/>
                <w:szCs w:val="24"/>
              </w:rPr>
              <w:t xml:space="preserve">PARTE I — Métricas de evaluación del sistema</w:t>
            </w:r>
          </w:p>
        </w:tc>
      </w:tr>
    </w:tbl>
    <w:p>
      <w:pPr>
        <w:spacing w:after="60" w:before="60"/>
      </w:pPr>
      <w:r>
        <w:t xml:space="preserve"/>
      </w:r>
    </w:p>
    <w:p>
      <w:pPr>
        <w:pStyle w:val="Heading1"/>
        <w:spacing w:after="180" w:before="360"/>
      </w:pPr>
      <w:r>
        <w:rPr>
          <w:rFonts w:ascii="Arial" w:cs="Arial" w:eastAsia="Arial" w:hAnsi="Arial"/>
          <w:b/>
          <w:bCs/>
          <w:color w:val="1A1A2E"/>
          <w:sz w:val="32"/>
          <w:szCs w:val="32"/>
        </w:rPr>
        <w:t xml:space="preserve">3. Métricas de evaluación</w:t>
      </w:r>
    </w:p>
    <w:p>
      <w:pPr>
        <w:spacing w:after="80" w:before="80"/>
        <w:jc w:val="both"/>
      </w:pPr>
      <w:r>
        <w:rPr>
          <w:rFonts w:ascii="Arial" w:cs="Arial" w:eastAsia="Arial" w:hAnsi="Arial"/>
          <w:color w:val="333333"/>
          <w:sz w:val="22"/>
          <w:szCs w:val="22"/>
        </w:rPr>
        <w:t xml:space="preserve">La evaluación rigurosa del sistema propuesto requiere métricas que capturen dos dimensiones distintas pero interdependientes: la precisión del pronóstico de demanda y el desempeño de la política de inventario resultante. Esta distinción es fundamental: un modelo con bajo error de predicción no necesariamente produce la mejor política de inventario, ya que el impacto económico del error depende de factores como el costo de almacenamiento, el costo de quiebre y el lead time del proveedor.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DDDDD" w:sz="1"/>
              <w:left w:val="single" w:color="DDDDDD" w:sz="1"/>
              <w:bottom w:val="single" w:color="DDDDDD" w:sz="1"/>
              <w:right w:val="single" w:color="DDDDDD" w:sz="1"/>
            </w:tcBorders>
            <w:shd w:fill="EBF3FB" w:val="clear"/>
            <w:tcMar>
              <w:top w:type="dxa" w:w="120"/>
              <w:left w:type="dxa" w:w="200"/>
              <w:bottom w:type="dxa" w:w="120"/>
              <w:right w:type="dxa" w:w="200"/>
            </w:tcMar>
          </w:tcPr>
          <w:p>
            <w:r>
              <w:rPr>
                <w:rFonts w:ascii="Arial" w:cs="Arial" w:eastAsia="Arial" w:hAnsi="Arial"/>
                <w:b/>
                <w:bCs/>
                <w:color w:val="0D47A1"/>
                <w:sz w:val="24"/>
                <w:szCs w:val="24"/>
              </w:rPr>
              <w:t xml:space="preserve">Bloque A — Métricas de evaluación de modelos de forecasting</w:t>
            </w:r>
          </w:p>
        </w:tc>
      </w:tr>
    </w:tbl>
    <w:p>
      <w:pPr>
        <w:spacing w:after="60" w:before="60"/>
      </w:pPr>
      <w:r>
        <w:t xml:space="preserve"/>
      </w:r>
    </w:p>
    <w:p>
      <w:pPr>
        <w:pStyle w:val="Heading2"/>
        <w:spacing w:after="120" w:before="280"/>
      </w:pPr>
      <w:r>
        <w:rPr>
          <w:rFonts w:ascii="Arial" w:cs="Arial" w:eastAsia="Arial" w:hAnsi="Arial"/>
          <w:b/>
          <w:bCs/>
          <w:color w:val="2E5BA8"/>
          <w:sz w:val="26"/>
          <w:szCs w:val="26"/>
        </w:rPr>
        <w:t xml:space="preserve">3.1 Métricas de precisión de predicción</w:t>
      </w:r>
    </w:p>
    <w:p>
      <w:pPr>
        <w:spacing w:after="80" w:before="80"/>
        <w:jc w:val="both"/>
      </w:pPr>
      <w:r>
        <w:rPr>
          <w:rFonts w:ascii="Arial" w:cs="Arial" w:eastAsia="Arial" w:hAnsi="Arial"/>
          <w:color w:val="333333"/>
          <w:sz w:val="22"/>
          <w:szCs w:val="22"/>
        </w:rPr>
        <w:t xml:space="preserve">Las métricas de forecasting cuantifican la distancia entre los valores predichos por cada modelo y los valores reales observados en el conjunto de prueba. Se reportan las tres métricas complementarias siguientes:</w:t>
      </w:r>
    </w:p>
    <w:p>
      <w:pPr>
        <w:spacing w:after="60" w:before="60"/>
      </w:pPr>
      <w:r>
        <w:t xml:space="preserve"/>
      </w:r>
    </w:p>
    <w:p>
      <w:pPr>
        <w:spacing w:after="80" w:before="220"/>
      </w:pPr>
      <w:r>
        <w:rPr>
          <w:rFonts w:ascii="Arial" w:cs="Arial" w:eastAsia="Arial" w:hAnsi="Arial"/>
          <w:b/>
          <w:bCs/>
          <w:color w:val="1A1A2E"/>
          <w:sz w:val="24"/>
          <w:szCs w:val="24"/>
        </w:rPr>
        <w:t xml:space="preserve">3.1.1 Error Medio Absoluto Porcentual (MAPE)</w:t>
      </w:r>
    </w:p>
    <w:p>
      <w:pPr>
        <w:spacing w:after="80" w:before="80"/>
        <w:jc w:val="both"/>
      </w:pPr>
      <w:r>
        <w:rPr>
          <w:rFonts w:ascii="Arial" w:cs="Arial" w:eastAsia="Arial" w:hAnsi="Arial"/>
          <w:color w:val="333333"/>
          <w:sz w:val="22"/>
          <w:szCs w:val="22"/>
        </w:rPr>
        <w:t xml:space="preserve">El MAPE (Mean Absolute Percentage Error) es la métrica primaria de comparación entre modelos en esta tesis, por su interpretabilidad directa y su independencia de la escala de la variable:</w:t>
      </w:r>
    </w:p>
    <w:p>
      <w:pPr>
        <w:spacing w:after="140" w:before="140"/>
        <w:jc w:val="center"/>
      </w:pPr>
      <w:r>
        <w:rPr>
          <w:rFonts w:ascii="Courier New" w:cs="Courier New" w:eastAsia="Courier New" w:hAnsi="Courier New"/>
          <w:b/>
          <w:bCs/>
          <w:color w:val="1A1A2E"/>
          <w:sz w:val="22"/>
          <w:szCs w:val="22"/>
        </w:rPr>
        <w:t xml:space="preserve">MAPE = (1/n) × Σ |( y_t − ŷ_t ) / y_t| × 100</w:t>
      </w:r>
    </w:p>
    <w:p>
      <w:pPr>
        <w:spacing w:after="80" w:before="80"/>
        <w:jc w:val="both"/>
      </w:pPr>
      <w:r>
        <w:rPr>
          <w:rFonts w:ascii="Arial" w:cs="Arial" w:eastAsia="Arial" w:hAnsi="Arial"/>
          <w:color w:val="333333"/>
          <w:sz w:val="22"/>
          <w:szCs w:val="22"/>
        </w:rPr>
        <w:t xml:space="preserve">donde </w:t>
      </w:r>
      <w:r>
        <w:rPr>
          <w:rFonts w:ascii="Arial" w:cs="Arial" w:eastAsia="Arial" w:hAnsi="Arial"/>
          <w:i/>
          <w:iCs/>
          <w:color w:val="333333"/>
          <w:sz w:val="22"/>
          <w:szCs w:val="22"/>
        </w:rPr>
        <w:t xml:space="preserve">y_t</w:t>
      </w:r>
      <w:r>
        <w:rPr>
          <w:rFonts w:ascii="Arial" w:cs="Arial" w:eastAsia="Arial" w:hAnsi="Arial"/>
          <w:color w:val="333333"/>
          <w:sz w:val="22"/>
          <w:szCs w:val="22"/>
        </w:rPr>
        <w:t xml:space="preserve"> es la demanda real en el período </w:t>
      </w:r>
      <w:r>
        <w:rPr>
          <w:rFonts w:ascii="Arial" w:cs="Arial" w:eastAsia="Arial" w:hAnsi="Arial"/>
          <w:i/>
          <w:iCs/>
          <w:color w:val="333333"/>
          <w:sz w:val="22"/>
          <w:szCs w:val="22"/>
        </w:rPr>
        <w:t xml:space="preserve">t</w:t>
      </w:r>
      <w:r>
        <w:rPr>
          <w:rFonts w:ascii="Arial" w:cs="Arial" w:eastAsia="Arial" w:hAnsi="Arial"/>
          <w:color w:val="333333"/>
          <w:sz w:val="22"/>
          <w:szCs w:val="22"/>
        </w:rPr>
        <w:t xml:space="preserve">, </w:t>
      </w:r>
      <w:r>
        <w:rPr>
          <w:rFonts w:ascii="Arial" w:cs="Arial" w:eastAsia="Arial" w:hAnsi="Arial"/>
          <w:i/>
          <w:iCs/>
          <w:color w:val="333333"/>
          <w:sz w:val="22"/>
          <w:szCs w:val="22"/>
        </w:rPr>
        <w:t xml:space="preserve">ŷ_t</w:t>
      </w:r>
      <w:r>
        <w:rPr>
          <w:rFonts w:ascii="Arial" w:cs="Arial" w:eastAsia="Arial" w:hAnsi="Arial"/>
          <w:color w:val="333333"/>
          <w:sz w:val="22"/>
          <w:szCs w:val="22"/>
        </w:rPr>
        <w:t xml:space="preserve"> es la demanda predicha y </w:t>
      </w:r>
      <w:r>
        <w:rPr>
          <w:rFonts w:ascii="Arial" w:cs="Arial" w:eastAsia="Arial" w:hAnsi="Arial"/>
          <w:i/>
          <w:iCs/>
          <w:color w:val="333333"/>
          <w:sz w:val="22"/>
          <w:szCs w:val="22"/>
        </w:rPr>
        <w:t xml:space="preserve">n</w:t>
      </w:r>
      <w:r>
        <w:rPr>
          <w:rFonts w:ascii="Arial" w:cs="Arial" w:eastAsia="Arial" w:hAnsi="Arial"/>
          <w:color w:val="333333"/>
          <w:sz w:val="22"/>
          <w:szCs w:val="22"/>
        </w:rPr>
        <w:t xml:space="preserve"> es el número total de períodos del conjunto de prueba. El resultado se expresa en porcentaje, lo que permite comparar el error entre SKUs con distintos volúmenes de venta.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Rango de MAPE</w:t>
            </w:r>
          </w:p>
        </w:tc>
        <w:tc>
          <w:tcPr>
            <w:tcW w:type="dxa" w:w="6826"/>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pPr>
              <w:jc w:val="both"/>
            </w:pPr>
            <w:r>
              <w:rPr>
                <w:rFonts w:ascii="Arial" w:cs="Arial" w:eastAsia="Arial" w:hAnsi="Arial"/>
                <w:b/>
                <w:bCs/>
                <w:color w:val="FFFFFF"/>
                <w:sz w:val="20"/>
                <w:szCs w:val="20"/>
              </w:rPr>
              <w:t xml:space="preserve">Interpretación en gestión de inventario</w:t>
            </w:r>
          </w:p>
        </w:tc>
      </w:tr>
      <w:tr>
        <w:trPr>
          <w:tblHeader w:val="false"/>
        </w:trPr>
        <w:tc>
          <w:tcPr>
            <w:tcW w:type="dxa" w:w="2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&lt; 10%</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Excelente — apto para políticas de inventario ajustadas con bajo safety stock</w:t>
            </w:r>
          </w:p>
        </w:tc>
      </w:tr>
      <w:tr>
        <w:trPr>
          <w:tblHeader w:val="false"/>
        </w:trPr>
        <w:tc>
          <w:tcPr>
            <w:tcW w:type="dxa" w:w="2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10% – 20%</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Bueno — permite planificación confiable con buffer moderado</w:t>
            </w:r>
          </w:p>
        </w:tc>
      </w:tr>
      <w:tr>
        <w:trPr>
          <w:tblHeader w:val="false"/>
        </w:trPr>
        <w:tc>
          <w:tcPr>
            <w:tcW w:type="dxa" w:w="2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20% – 50%</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Aceptable — requiere mayor safety stock para compensar imprecisión</w:t>
            </w:r>
          </w:p>
        </w:tc>
      </w:tr>
      <w:tr>
        <w:trPr>
          <w:tblHeader w:val="false"/>
        </w:trPr>
        <w:tc>
          <w:tcPr>
            <w:tcW w:type="dxa" w:w="22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&gt; 50%</w:t>
            </w:r>
          </w:p>
        </w:tc>
        <w:tc>
          <w:tcPr>
            <w:tcW w:type="dxa" w:w="6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Deficiente — la política de inventario debe considerar alta incertidumbre</w:t>
            </w:r>
          </w:p>
        </w:tc>
      </w:tr>
    </w:tbl>
    <w:p>
      <w:pPr>
        <w:spacing w:after="60" w:before="60"/>
      </w:pPr>
      <w:r>
        <w:t xml:space="preserve"/>
      </w:r>
    </w:p>
    <w:p>
      <w:pPr>
        <w:spacing w:after="80" w:before="80"/>
        <w:jc w:val="both"/>
      </w:pPr>
      <w:r>
        <w:rPr>
          <w:rFonts w:ascii="Arial" w:cs="Arial" w:eastAsia="Arial" w:hAnsi="Arial"/>
          <w:b/>
          <w:bCs/>
          <w:color w:val="333333"/>
          <w:sz w:val="22"/>
          <w:szCs w:val="22"/>
        </w:rPr>
        <w:t xml:space="preserve">Limitación crítica: </w:t>
      </w:r>
      <w:r>
        <w:rPr>
          <w:rFonts w:ascii="Arial" w:cs="Arial" w:eastAsia="Arial" w:hAnsi="Arial"/>
          <w:color w:val="333333"/>
          <w:sz w:val="22"/>
          <w:szCs w:val="22"/>
        </w:rPr>
        <w:t xml:space="preserve">el MAPE no está definido cuando </w:t>
      </w:r>
      <w:r>
        <w:rPr>
          <w:rFonts w:ascii="Arial" w:cs="Arial" w:eastAsia="Arial" w:hAnsi="Arial"/>
          <w:i/>
          <w:iCs/>
          <w:color w:val="333333"/>
          <w:sz w:val="22"/>
          <w:szCs w:val="22"/>
        </w:rPr>
        <w:t xml:space="preserve">y_t</w:t>
      </w:r>
      <w:r>
        <w:rPr>
          <w:rFonts w:ascii="Arial" w:cs="Arial" w:eastAsia="Arial" w:hAnsi="Arial"/>
          <w:color w:val="333333"/>
          <w:sz w:val="22"/>
          <w:szCs w:val="22"/>
        </w:rPr>
        <w:t xml:space="preserve"> = 0 (períodos sin ventas). Para SKUs con demanda intermitente —donde los ceros son frecuentes— el MAPE produce valores infinitos o distorsionados. En estos casos, el criterio de evaluación cambia a RMSE como métrica primaria.</w:t>
      </w:r>
    </w:p>
    <w:p>
      <w:pPr>
        <w:spacing w:after="60" w:before="60"/>
      </w:pPr>
      <w:r>
        <w:t xml:space="preserve"/>
      </w:r>
    </w:p>
    <w:p>
      <w:pPr>
        <w:spacing w:after="80" w:before="220"/>
      </w:pPr>
      <w:r>
        <w:rPr>
          <w:rFonts w:ascii="Arial" w:cs="Arial" w:eastAsia="Arial" w:hAnsi="Arial"/>
          <w:b/>
          <w:bCs/>
          <w:color w:val="1A1A2E"/>
          <w:sz w:val="24"/>
          <w:szCs w:val="24"/>
        </w:rPr>
        <w:t xml:space="preserve">3.1.2 Raíz del Error Cuadrático Medio (RMSE)</w:t>
      </w:r>
    </w:p>
    <w:p>
      <w:pPr>
        <w:spacing w:after="140" w:before="140"/>
        <w:jc w:val="center"/>
      </w:pPr>
      <w:r>
        <w:rPr>
          <w:rFonts w:ascii="Courier New" w:cs="Courier New" w:eastAsia="Courier New" w:hAnsi="Courier New"/>
          <w:b/>
          <w:bCs/>
          <w:color w:val="1A1A2E"/>
          <w:sz w:val="22"/>
          <w:szCs w:val="22"/>
        </w:rPr>
        <w:t xml:space="preserve">RMSE = √[ (1/n) × Σ ( y_t − ŷ_t )² ]</w:t>
      </w:r>
    </w:p>
    <w:p>
      <w:pPr>
        <w:spacing w:after="80" w:before="80"/>
        <w:jc w:val="both"/>
      </w:pPr>
      <w:r>
        <w:rPr>
          <w:rFonts w:ascii="Arial" w:cs="Arial" w:eastAsia="Arial" w:hAnsi="Arial"/>
          <w:color w:val="333333"/>
          <w:sz w:val="22"/>
          <w:szCs w:val="22"/>
        </w:rPr>
        <w:t xml:space="preserve">El RMSE (Root Mean Squared Error) penaliza de forma cuadrática los errores grandes, siendo especialmente sensible a predicciones extremas. Se expresa en las mismas unidades que la variable de interés (unidades vendidas), lo que facilita su interpretación operacional. Un RMSE de 50 unidades significa que el modelo se equivoca en promedio 50 unidades por período, considerando mayor peso a los errores grandes.</w:t>
      </w:r>
    </w:p>
    <w:p>
      <w:pPr>
        <w:spacing w:after="60" w:before="60"/>
      </w:pPr>
      <w:r>
        <w:t xml:space="preserve"/>
      </w:r>
    </w:p>
    <w:p>
      <w:pPr>
        <w:spacing w:after="80" w:before="80"/>
        <w:jc w:val="both"/>
      </w:pPr>
      <w:r>
        <w:rPr>
          <w:rFonts w:ascii="Arial" w:cs="Arial" w:eastAsia="Arial" w:hAnsi="Arial"/>
          <w:color w:val="333333"/>
          <w:sz w:val="22"/>
          <w:szCs w:val="22"/>
        </w:rPr>
        <w:t xml:space="preserve">En esta tesis, el RMSE cumple tres roles específicos:</w:t>
      </w:r>
    </w:p>
    <w:p>
      <w:pPr>
        <w:pStyle w:val="ListParagraph"/>
        <w:numPr>
          <w:ilvl w:val="0"/>
          <w:numId w:val="2"/>
        </w:numPr>
        <w:spacing w:after="60" w:before="60"/>
      </w:pPr>
      <w:r>
        <w:rPr>
          <w:rFonts w:ascii="Arial" w:cs="Arial" w:eastAsia="Arial" w:hAnsi="Arial"/>
          <w:b/>
          <w:bCs/>
          <w:color w:val="333333"/>
          <w:sz w:val="22"/>
          <w:szCs w:val="22"/>
        </w:rPr>
        <w:t xml:space="preserve">Métrica primaria alternativa</w:t>
      </w:r>
      <w:r>
        <w:rPr>
          <w:rFonts w:ascii="Arial" w:cs="Arial" w:eastAsia="Arial" w:hAnsi="Arial"/>
          <w:color w:val="333333"/>
          <w:sz w:val="22"/>
          <w:szCs w:val="22"/>
        </w:rPr>
        <w:t xml:space="preserve"> para SKUs con demanda intermitente (MAPE indefinido).</w:t>
      </w:r>
    </w:p>
    <w:p>
      <w:pPr>
        <w:pStyle w:val="ListParagraph"/>
        <w:numPr>
          <w:ilvl w:val="0"/>
          <w:numId w:val="2"/>
        </w:numPr>
        <w:spacing w:after="60" w:before="60"/>
      </w:pPr>
      <w:r>
        <w:rPr>
          <w:rFonts w:ascii="Arial" w:cs="Arial" w:eastAsia="Arial" w:hAnsi="Arial"/>
          <w:b/>
          <w:bCs/>
          <w:color w:val="333333"/>
          <w:sz w:val="22"/>
          <w:szCs w:val="22"/>
        </w:rPr>
        <w:t xml:space="preserve">Criterio de desempate</w:t>
      </w:r>
      <w:r>
        <w:rPr>
          <w:rFonts w:ascii="Arial" w:cs="Arial" w:eastAsia="Arial" w:hAnsi="Arial"/>
          <w:color w:val="333333"/>
          <w:sz w:val="22"/>
          <w:szCs w:val="22"/>
        </w:rPr>
        <w:t xml:space="preserve"> cuando dos modelos tienen MAPE similar (diferencia &lt; 0.5%).</w:t>
      </w:r>
    </w:p>
    <w:p>
      <w:pPr>
        <w:pStyle w:val="ListParagraph"/>
        <w:numPr>
          <w:ilvl w:val="0"/>
          <w:numId w:val="2"/>
        </w:numPr>
        <w:spacing w:after="60" w:before="60"/>
      </w:pPr>
      <w:r>
        <w:rPr>
          <w:rFonts w:ascii="Arial" w:cs="Arial" w:eastAsia="Arial" w:hAnsi="Arial"/>
          <w:b/>
          <w:bCs/>
          <w:color w:val="333333"/>
          <w:sz w:val="22"/>
          <w:szCs w:val="22"/>
        </w:rPr>
        <w:t xml:space="preserve">Indicador de estabilidad</w:t>
      </w:r>
      <w:r>
        <w:rPr>
          <w:rFonts w:ascii="Arial" w:cs="Arial" w:eastAsia="Arial" w:hAnsi="Arial"/>
          <w:color w:val="333333"/>
          <w:sz w:val="22"/>
          <w:szCs w:val="22"/>
        </w:rPr>
        <w:t xml:space="preserve"> del modelo: un RMSE desproporcionadamente alto respecto al MAE indica presencia de predicciones extremas.</w:t>
      </w:r>
    </w:p>
    <w:p>
      <w:pPr>
        <w:spacing w:after="60" w:before="60"/>
      </w:pPr>
      <w:r>
        <w:t xml:space="preserve"/>
      </w:r>
    </w:p>
    <w:p>
      <w:pPr>
        <w:spacing w:after="80" w:before="220"/>
      </w:pPr>
      <w:r>
        <w:rPr>
          <w:rFonts w:ascii="Arial" w:cs="Arial" w:eastAsia="Arial" w:hAnsi="Arial"/>
          <w:b/>
          <w:bCs/>
          <w:color w:val="1A1A2E"/>
          <w:sz w:val="24"/>
          <w:szCs w:val="24"/>
        </w:rPr>
        <w:t xml:space="preserve">3.1.3 Error Medio Absoluto (MAE)</w:t>
      </w:r>
    </w:p>
    <w:p>
      <w:pPr>
        <w:spacing w:after="140" w:before="140"/>
        <w:jc w:val="center"/>
      </w:pPr>
      <w:r>
        <w:rPr>
          <w:rFonts w:ascii="Courier New" w:cs="Courier New" w:eastAsia="Courier New" w:hAnsi="Courier New"/>
          <w:b/>
          <w:bCs/>
          <w:color w:val="1A1A2E"/>
          <w:sz w:val="22"/>
          <w:szCs w:val="22"/>
        </w:rPr>
        <w:t xml:space="preserve">MAE = (1/n) × Σ |y_t − ŷ_t|</w:t>
      </w:r>
    </w:p>
    <w:p>
      <w:pPr>
        <w:spacing w:after="80" w:before="80"/>
        <w:jc w:val="both"/>
      </w:pPr>
      <w:r>
        <w:rPr>
          <w:rFonts w:ascii="Arial" w:cs="Arial" w:eastAsia="Arial" w:hAnsi="Arial"/>
          <w:color w:val="333333"/>
          <w:sz w:val="22"/>
          <w:szCs w:val="22"/>
        </w:rPr>
        <w:t xml:space="preserve">El MAE (Mean Absolute Error) es el promedio de los errores absolutos sin elevar al cuadrado, lo que lo hace robusto ante valores atípicos. A diferencia del RMSE, todos los errores tienen el mismo peso independientemente de su magnitud. Se expresa en las mismas unidades que la variable.</w:t>
      </w:r>
    </w:p>
    <w:p>
      <w:pPr>
        <w:spacing w:after="60" w:before="60"/>
      </w:pPr>
      <w:r>
        <w:t xml:space="preserve"/>
      </w:r>
    </w:p>
    <w:p>
      <w:pPr>
        <w:spacing w:after="80" w:before="80"/>
        <w:jc w:val="both"/>
      </w:pPr>
      <w:r>
        <w:rPr>
          <w:rFonts w:ascii="Arial" w:cs="Arial" w:eastAsia="Arial" w:hAnsi="Arial"/>
          <w:color w:val="333333"/>
          <w:sz w:val="22"/>
          <w:szCs w:val="22"/>
        </w:rPr>
        <w:t xml:space="preserve">La relación entre RMSE y MAE es diagnóstica: cuando </w:t>
      </w:r>
      <w:r>
        <w:rPr>
          <w:rFonts w:ascii="Arial" w:cs="Arial" w:eastAsia="Arial" w:hAnsi="Arial"/>
          <w:i/>
          <w:iCs/>
          <w:color w:val="333333"/>
          <w:sz w:val="22"/>
          <w:szCs w:val="22"/>
        </w:rPr>
        <w:t xml:space="preserve">RMSE ≈ MAE</w:t>
      </w:r>
      <w:r>
        <w:rPr>
          <w:rFonts w:ascii="Arial" w:cs="Arial" w:eastAsia="Arial" w:hAnsi="Arial"/>
          <w:color w:val="333333"/>
          <w:sz w:val="22"/>
          <w:szCs w:val="22"/>
        </w:rPr>
        <w:t xml:space="preserve">, los errores son uniformes y el modelo se comporta de forma consistente. Cuando </w:t>
      </w:r>
      <w:r>
        <w:rPr>
          <w:rFonts w:ascii="Arial" w:cs="Arial" w:eastAsia="Arial" w:hAnsi="Arial"/>
          <w:i/>
          <w:iCs/>
          <w:color w:val="333333"/>
          <w:sz w:val="22"/>
          <w:szCs w:val="22"/>
        </w:rPr>
        <w:t xml:space="preserve">RMSE &gt;&gt; MAE</w:t>
      </w:r>
      <w:r>
        <w:rPr>
          <w:rFonts w:ascii="Arial" w:cs="Arial" w:eastAsia="Arial" w:hAnsi="Arial"/>
          <w:color w:val="333333"/>
          <w:sz w:val="22"/>
          <w:szCs w:val="22"/>
        </w:rPr>
        <w:t xml:space="preserve">, existen predicciones extremas puntuales que inflan el RMSE. Esta comparación se reporta en los resultados experimentales para cada modelo y SKU evaluado.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DDDDD" w:sz="1"/>
              <w:left w:val="single" w:color="DDDDDD" w:sz="1"/>
              <w:bottom w:val="single" w:color="DDDDDD" w:sz="1"/>
              <w:right w:val="single" w:color="DDDDDD" w:sz="1"/>
            </w:tcBorders>
            <w:shd w:fill="EBF3FB" w:val="clear"/>
            <w:tcMar>
              <w:top w:type="dxa" w:w="130"/>
              <w:left w:type="dxa" w:w="200"/>
              <w:bottom w:type="dxa" w:w="130"/>
              <w:right w:type="dxa" w:w="200"/>
            </w:tcMar>
          </w:tcPr>
          <w:p>
            <w:pPr>
              <w:spacing w:after="60" w:before="0"/>
            </w:pPr>
            <w:r>
              <w:rPr>
                <w:rFonts w:ascii="Arial" w:cs="Arial" w:eastAsia="Arial" w:hAnsi="Arial"/>
                <w:b/>
                <w:bCs/>
                <w:color w:val="0D47A1"/>
                <w:sz w:val="20"/>
                <w:szCs w:val="20"/>
              </w:rPr>
              <w:t xml:space="preserve">Criterio de selección automática del Automated Model Selector (AMS)</w:t>
            </w:r>
          </w:p>
          <w:p>
            <w:pPr>
              <w:jc w:val="both"/>
            </w:pPr>
            <w:r>
              <w:rPr>
                <w:rFonts w:ascii="Arial" w:cs="Arial" w:eastAsia="Arial" w:hAnsi="Arial"/>
                <w:color w:val="1A1A2E"/>
                <w:sz w:val="21"/>
                <w:szCs w:val="21"/>
              </w:rPr>
              <w:t xml:space="preserve">Para cada SKU: (1) si los períodos con y_t = 0 representan menos del 20% del historial → criterio primario: MAPE. (2) Si los ceros son ≥ 20% del historial (demanda intermitente) → criterio primario: RMSE. En caso de empate (diferencia &lt; 0.5%), el criterio de desempate es el tiempo de entrenamiento — se prefiere el modelo más rápido. Las tres métricas (MAPE, RMSE, MAE) se reportan siempre en el dashboard de resultados para transparencia total.</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DDDDD" w:sz="1"/>
              <w:left w:val="single" w:color="DDDDDD" w:sz="1"/>
              <w:bottom w:val="single" w:color="DDDDDD" w:sz="1"/>
              <w:right w:val="single" w:color="DDDDDD" w:sz="1"/>
            </w:tcBorders>
            <w:shd w:fill="E8F5E9" w:val="clear"/>
            <w:tcMar>
              <w:top w:type="dxa" w:w="120"/>
              <w:left w:type="dxa" w:w="200"/>
              <w:bottom w:type="dxa" w:w="120"/>
              <w:right w:type="dxa" w:w="200"/>
            </w:tcMar>
          </w:tcPr>
          <w:p>
            <w:r>
              <w:rPr>
                <w:rFonts w:ascii="Arial" w:cs="Arial" w:eastAsia="Arial" w:hAnsi="Arial"/>
                <w:b/>
                <w:bCs/>
                <w:color w:val="1B5E20"/>
                <w:sz w:val="24"/>
                <w:szCs w:val="24"/>
              </w:rPr>
              <w:t xml:space="preserve">Bloque B — Métricas de evaluación de políticas de inventario</w:t>
            </w:r>
          </w:p>
        </w:tc>
      </w:tr>
    </w:tbl>
    <w:p>
      <w:pPr>
        <w:spacing w:after="60" w:before="60"/>
      </w:pPr>
      <w:r>
        <w:t xml:space="preserve"/>
      </w:r>
    </w:p>
    <w:p>
      <w:pPr>
        <w:pStyle w:val="Heading2"/>
        <w:spacing w:after="120" w:before="280"/>
      </w:pPr>
      <w:r>
        <w:rPr>
          <w:rFonts w:ascii="Arial" w:cs="Arial" w:eastAsia="Arial" w:hAnsi="Arial"/>
          <w:b/>
          <w:bCs/>
          <w:color w:val="2E5BA8"/>
          <w:sz w:val="26"/>
          <w:szCs w:val="26"/>
        </w:rPr>
        <w:t xml:space="preserve">3.2 Métricas de desempeño de la política de inventario</w:t>
      </w:r>
    </w:p>
    <w:p>
      <w:pPr>
        <w:spacing w:after="80" w:before="80"/>
        <w:jc w:val="both"/>
      </w:pPr>
      <w:r>
        <w:rPr>
          <w:rFonts w:ascii="Arial" w:cs="Arial" w:eastAsia="Arial" w:hAnsi="Arial"/>
          <w:color w:val="333333"/>
          <w:sz w:val="22"/>
          <w:szCs w:val="22"/>
        </w:rPr>
        <w:t xml:space="preserve">La evaluación del módulo de inventario requiere métricas que vayan más allá de la precisión del pronóstico y capturen el impacto económico y operacional de las decisiones de reabastecimiento. Las siguientes métricas se aplican sobre el simulador de política de inventario descrito en la metodología:</w:t>
      </w:r>
    </w:p>
    <w:p>
      <w:pPr>
        <w:spacing w:after="60" w:before="60"/>
      </w:pPr>
      <w:r>
        <w:t xml:space="preserve"/>
      </w:r>
    </w:p>
    <w:p>
      <w:pPr>
        <w:spacing w:after="80" w:before="220"/>
      </w:pPr>
      <w:r>
        <w:rPr>
          <w:rFonts w:ascii="Arial" w:cs="Arial" w:eastAsia="Arial" w:hAnsi="Arial"/>
          <w:b/>
          <w:bCs/>
          <w:color w:val="1A1A2E"/>
          <w:sz w:val="24"/>
          <w:szCs w:val="24"/>
        </w:rPr>
        <w:t xml:space="preserve">3.2.1 Capital inmovilizado en inventario</w:t>
      </w:r>
    </w:p>
    <w:p>
      <w:pPr>
        <w:spacing w:after="80" w:before="80"/>
        <w:jc w:val="both"/>
      </w:pPr>
      <w:r>
        <w:rPr>
          <w:rFonts w:ascii="Arial" w:cs="Arial" w:eastAsia="Arial" w:hAnsi="Arial"/>
          <w:color w:val="333333"/>
          <w:sz w:val="22"/>
          <w:szCs w:val="22"/>
        </w:rPr>
        <w:t xml:space="preserve">El capital inmovilizado (CI) representa el valor económico del stock promedio mantenido en bodega durante el período de evaluación. Es la métrica más directamente vinculada a la hipótesis de investigación:</w:t>
      </w:r>
    </w:p>
    <w:p>
      <w:pPr>
        <w:spacing w:after="140" w:before="140"/>
        <w:jc w:val="center"/>
      </w:pPr>
      <w:r>
        <w:rPr>
          <w:rFonts w:ascii="Courier New" w:cs="Courier New" w:eastAsia="Courier New" w:hAnsi="Courier New"/>
          <w:b/>
          <w:bCs/>
          <w:color w:val="1A1A2E"/>
          <w:sz w:val="22"/>
          <w:szCs w:val="22"/>
        </w:rPr>
        <w:t xml:space="preserve">CI = Σ_k ( Q̄_k × c_k )</w:t>
      </w:r>
    </w:p>
    <w:p>
      <w:pPr>
        <w:spacing w:after="80" w:before="80"/>
        <w:jc w:val="both"/>
      </w:pPr>
      <w:r>
        <w:rPr>
          <w:rFonts w:ascii="Arial" w:cs="Arial" w:eastAsia="Arial" w:hAnsi="Arial"/>
          <w:color w:val="333333"/>
          <w:sz w:val="22"/>
          <w:szCs w:val="22"/>
        </w:rPr>
        <w:t xml:space="preserve">donde </w:t>
      </w:r>
      <w:r>
        <w:rPr>
          <w:rFonts w:ascii="Arial" w:cs="Arial" w:eastAsia="Arial" w:hAnsi="Arial"/>
          <w:i/>
          <w:iCs/>
          <w:color w:val="333333"/>
          <w:sz w:val="22"/>
          <w:szCs w:val="22"/>
        </w:rPr>
        <w:t xml:space="preserve">Q̄_k</w:t>
      </w:r>
      <w:r>
        <w:rPr>
          <w:rFonts w:ascii="Arial" w:cs="Arial" w:eastAsia="Arial" w:hAnsi="Arial"/>
          <w:color w:val="333333"/>
          <w:sz w:val="22"/>
          <w:szCs w:val="22"/>
        </w:rPr>
        <w:t xml:space="preserve"> es el nivel de stock promedio del SKU </w:t>
      </w:r>
      <w:r>
        <w:rPr>
          <w:rFonts w:ascii="Arial" w:cs="Arial" w:eastAsia="Arial" w:hAnsi="Arial"/>
          <w:i/>
          <w:iCs/>
          <w:color w:val="333333"/>
          <w:sz w:val="22"/>
          <w:szCs w:val="22"/>
        </w:rPr>
        <w:t xml:space="preserve">k</w:t>
      </w:r>
      <w:r>
        <w:rPr>
          <w:rFonts w:ascii="Arial" w:cs="Arial" w:eastAsia="Arial" w:hAnsi="Arial"/>
          <w:color w:val="333333"/>
          <w:sz w:val="22"/>
          <w:szCs w:val="22"/>
        </w:rPr>
        <w:t xml:space="preserve"> durante el período de evaluación (en unidades) y </w:t>
      </w:r>
      <w:r>
        <w:rPr>
          <w:rFonts w:ascii="Arial" w:cs="Arial" w:eastAsia="Arial" w:hAnsi="Arial"/>
          <w:i/>
          <w:iCs/>
          <w:color w:val="333333"/>
          <w:sz w:val="22"/>
          <w:szCs w:val="22"/>
        </w:rPr>
        <w:t xml:space="preserve">c_k</w:t>
      </w:r>
      <w:r>
        <w:rPr>
          <w:rFonts w:ascii="Arial" w:cs="Arial" w:eastAsia="Arial" w:hAnsi="Arial"/>
          <w:color w:val="333333"/>
          <w:sz w:val="22"/>
          <w:szCs w:val="22"/>
        </w:rPr>
        <w:t xml:space="preserve"> es el costo unitario de adquisición del SKU </w:t>
      </w:r>
      <w:r>
        <w:rPr>
          <w:rFonts w:ascii="Arial" w:cs="Arial" w:eastAsia="Arial" w:hAnsi="Arial"/>
          <w:i/>
          <w:iCs/>
          <w:color w:val="333333"/>
          <w:sz w:val="22"/>
          <w:szCs w:val="22"/>
        </w:rPr>
        <w:t xml:space="preserve">k</w:t>
      </w:r>
      <w:r>
        <w:rPr>
          <w:rFonts w:ascii="Arial" w:cs="Arial" w:eastAsia="Arial" w:hAnsi="Arial"/>
          <w:color w:val="333333"/>
          <w:sz w:val="22"/>
          <w:szCs w:val="22"/>
        </w:rPr>
        <w:t xml:space="preserve"> (en CLP o USD). El CI se expresa en unidades monetarias y representa el capital que la empresa tiene «congelado» en mercancías.</w:t>
      </w:r>
    </w:p>
    <w:p>
      <w:pPr>
        <w:spacing w:after="60" w:before="60"/>
      </w:pPr>
      <w:r>
        <w:t xml:space="preserve"/>
      </w:r>
    </w:p>
    <w:p>
      <w:pPr>
        <w:spacing w:after="80" w:before="80"/>
        <w:jc w:val="both"/>
      </w:pPr>
      <w:r>
        <w:rPr>
          <w:rFonts w:ascii="Arial" w:cs="Arial" w:eastAsia="Arial" w:hAnsi="Arial"/>
          <w:color w:val="333333"/>
          <w:sz w:val="22"/>
          <w:szCs w:val="22"/>
        </w:rPr>
        <w:t xml:space="preserve">Una reducción del CI sin aumento en la tasa de quiebre de stock indica una gestión de inventario más eficiente: la empresa libera capital de trabajo manteniendo el nivel de servicio. Este es el resultado esperado al pasar de EOQ clásico a la política (s,S) dinámica alimentada por predicciones de demanda variable.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DDDDD" w:sz="1"/>
              <w:left w:val="single" w:color="DDDDDD" w:sz="1"/>
              <w:bottom w:val="single" w:color="DDDDDD" w:sz="1"/>
              <w:right w:val="single" w:color="DDDDDD" w:sz="1"/>
            </w:tcBorders>
            <w:shd w:fill="E8F5E9" w:val="clear"/>
            <w:tcMar>
              <w:top w:type="dxa" w:w="130"/>
              <w:left w:type="dxa" w:w="200"/>
              <w:bottom w:type="dxa" w:w="130"/>
              <w:right w:type="dxa" w:w="200"/>
            </w:tcMar>
          </w:tcPr>
          <w:p>
            <w:pPr>
              <w:spacing w:after="60" w:before="0"/>
            </w:pPr>
            <w:r>
              <w:rPr>
                <w:rFonts w:ascii="Arial" w:cs="Arial" w:eastAsia="Arial" w:hAnsi="Arial"/>
                <w:b/>
                <w:bCs/>
                <w:color w:val="1B5E20"/>
                <w:sz w:val="20"/>
                <w:szCs w:val="20"/>
              </w:rPr>
              <w:t xml:space="preserve">Conexión con la hipótesis de investigación</w:t>
            </w:r>
          </w:p>
          <w:p>
            <w:pPr>
              <w:jc w:val="both"/>
            </w:pPr>
            <w:r>
              <w:rPr>
                <w:rFonts w:ascii="Arial" w:cs="Arial" w:eastAsia="Arial" w:hAnsi="Arial"/>
                <w:color w:val="1A1A2E"/>
                <w:sz w:val="21"/>
                <w:szCs w:val="21"/>
              </w:rPr>
              <w:t xml:space="preserve">La hipótesis secundaria 3 de esta tesis establece que «una política de inventario (s,S) alimentada por predicciones de demanda variables reduce la tasa de quiebre de stock respecto a una política EOQ con demanda promedio fija». El capital inmovilizado es la métrica que permite medir si esta reducción de quiebres se logra sin un aumento proporcional del stock (lo cual anularía el beneficio económico).</w:t>
            </w:r>
          </w:p>
        </w:tc>
      </w:tr>
    </w:tbl>
    <w:p>
      <w:pPr>
        <w:spacing w:after="60" w:before="60"/>
      </w:pPr>
      <w:r>
        <w:t xml:space="preserve"/>
      </w:r>
    </w:p>
    <w:p>
      <w:pPr>
        <w:spacing w:after="80" w:before="220"/>
      </w:pPr>
      <w:r>
        <w:rPr>
          <w:rFonts w:ascii="Arial" w:cs="Arial" w:eastAsia="Arial" w:hAnsi="Arial"/>
          <w:b/>
          <w:bCs/>
          <w:color w:val="1A1A2E"/>
          <w:sz w:val="24"/>
          <w:szCs w:val="24"/>
        </w:rPr>
        <w:t xml:space="preserve">3.2.2 Tasa de quiebre de stock (Stockout Rate)</w:t>
      </w:r>
    </w:p>
    <w:p>
      <w:pPr>
        <w:spacing w:after="80" w:before="80"/>
        <w:jc w:val="both"/>
      </w:pPr>
      <w:r>
        <w:rPr>
          <w:rFonts w:ascii="Arial" w:cs="Arial" w:eastAsia="Arial" w:hAnsi="Arial"/>
          <w:color w:val="333333"/>
          <w:sz w:val="22"/>
          <w:szCs w:val="22"/>
        </w:rPr>
        <w:t xml:space="preserve">Un quiebre de stock ocurre cuando la demanda supera el stock disponible en un período determinado, resultando en ventas perdidas o pedidos postergados. La tasa de quiebre se calcula como:</w:t>
      </w:r>
    </w:p>
    <w:p>
      <w:pPr>
        <w:spacing w:after="140" w:before="140"/>
        <w:jc w:val="center"/>
      </w:pPr>
      <w:r>
        <w:rPr>
          <w:rFonts w:ascii="Courier New" w:cs="Courier New" w:eastAsia="Courier New" w:hAnsi="Courier New"/>
          <w:b/>
          <w:bCs/>
          <w:color w:val="1A1A2E"/>
          <w:sz w:val="22"/>
          <w:szCs w:val="22"/>
        </w:rPr>
        <w:t xml:space="preserve">TQ = (Períodos con stock = 0 / Total períodos evaluados) × 100</w:t>
      </w:r>
    </w:p>
    <w:p>
      <w:pPr>
        <w:spacing w:after="80" w:before="80"/>
        <w:jc w:val="both"/>
      </w:pPr>
      <w:r>
        <w:rPr>
          <w:rFonts w:ascii="Arial" w:cs="Arial" w:eastAsia="Arial" w:hAnsi="Arial"/>
          <w:color w:val="333333"/>
          <w:sz w:val="22"/>
          <w:szCs w:val="22"/>
        </w:rPr>
        <w:t xml:space="preserve">Se expresa como porcentaje y se calcula tanto por SKU individual como de forma agregada sobre el catálogo completo. Una TQ del 5% significa que en 1 de cada 20 períodos evaluados el SKU estuvo sin stock.</w:t>
      </w:r>
    </w:p>
    <w:p>
      <w:pPr>
        <w:spacing w:after="60" w:before="60"/>
      </w:pPr>
      <w:r>
        <w:t xml:space="preserve"/>
      </w:r>
    </w:p>
    <w:p>
      <w:pPr>
        <w:spacing w:after="80" w:before="80"/>
        <w:jc w:val="both"/>
      </w:pPr>
      <w:r>
        <w:rPr>
          <w:rFonts w:ascii="Arial" w:cs="Arial" w:eastAsia="Arial" w:hAnsi="Arial"/>
          <w:b/>
          <w:bCs/>
          <w:color w:val="333333"/>
          <w:sz w:val="22"/>
          <w:szCs w:val="22"/>
        </w:rPr>
        <w:t xml:space="preserve">Variante por demanda insatisfecha: </w:t>
      </w:r>
      <w:r>
        <w:rPr>
          <w:rFonts w:ascii="Arial" w:cs="Arial" w:eastAsia="Arial" w:hAnsi="Arial"/>
          <w:color w:val="333333"/>
          <w:sz w:val="22"/>
          <w:szCs w:val="22"/>
        </w:rPr>
        <w:t xml:space="preserve">adicionalmente se calcula la demanda insatisfecha acumulada (Fill Rate negativo), que cuantifica el total de unidades no entregadas por quiebre de stock:</w:t>
      </w:r>
    </w:p>
    <w:p>
      <w:pPr>
        <w:spacing w:after="140" w:before="140"/>
        <w:jc w:val="center"/>
      </w:pPr>
      <w:r>
        <w:rPr>
          <w:rFonts w:ascii="Courier New" w:cs="Courier New" w:eastAsia="Courier New" w:hAnsi="Courier New"/>
          <w:b/>
          <w:bCs/>
          <w:color w:val="1A1A2E"/>
          <w:sz w:val="22"/>
          <w:szCs w:val="22"/>
        </w:rPr>
        <w:t xml:space="preserve">DI = Σ max(0, d_t − q_t)</w:t>
      </w:r>
    </w:p>
    <w:p>
      <w:pPr>
        <w:spacing w:after="80" w:before="80"/>
        <w:jc w:val="both"/>
      </w:pPr>
      <w:r>
        <w:rPr>
          <w:rFonts w:ascii="Arial" w:cs="Arial" w:eastAsia="Arial" w:hAnsi="Arial"/>
          <w:color w:val="333333"/>
          <w:sz w:val="22"/>
          <w:szCs w:val="22"/>
        </w:rPr>
        <w:t xml:space="preserve">donde </w:t>
      </w:r>
      <w:r>
        <w:rPr>
          <w:rFonts w:ascii="Arial" w:cs="Arial" w:eastAsia="Arial" w:hAnsi="Arial"/>
          <w:i/>
          <w:iCs/>
          <w:color w:val="333333"/>
          <w:sz w:val="22"/>
          <w:szCs w:val="22"/>
        </w:rPr>
        <w:t xml:space="preserve">d_t</w:t>
      </w:r>
      <w:r>
        <w:rPr>
          <w:rFonts w:ascii="Arial" w:cs="Arial" w:eastAsia="Arial" w:hAnsi="Arial"/>
          <w:color w:val="333333"/>
          <w:sz w:val="22"/>
          <w:szCs w:val="22"/>
        </w:rPr>
        <w:t xml:space="preserve"> es la demanda del período </w:t>
      </w:r>
      <w:r>
        <w:rPr>
          <w:rFonts w:ascii="Arial" w:cs="Arial" w:eastAsia="Arial" w:hAnsi="Arial"/>
          <w:i/>
          <w:iCs/>
          <w:color w:val="333333"/>
          <w:sz w:val="22"/>
          <w:szCs w:val="22"/>
        </w:rPr>
        <w:t xml:space="preserve">t</w:t>
      </w:r>
      <w:r>
        <w:rPr>
          <w:rFonts w:ascii="Arial" w:cs="Arial" w:eastAsia="Arial" w:hAnsi="Arial"/>
          <w:color w:val="333333"/>
          <w:sz w:val="22"/>
          <w:szCs w:val="22"/>
        </w:rPr>
        <w:t xml:space="preserve"> y </w:t>
      </w:r>
      <w:r>
        <w:rPr>
          <w:rFonts w:ascii="Arial" w:cs="Arial" w:eastAsia="Arial" w:hAnsi="Arial"/>
          <w:i/>
          <w:iCs/>
          <w:color w:val="333333"/>
          <w:sz w:val="22"/>
          <w:szCs w:val="22"/>
        </w:rPr>
        <w:t xml:space="preserve">q_t</w:t>
      </w:r>
      <w:r>
        <w:rPr>
          <w:rFonts w:ascii="Arial" w:cs="Arial" w:eastAsia="Arial" w:hAnsi="Arial"/>
          <w:color w:val="333333"/>
          <w:sz w:val="22"/>
          <w:szCs w:val="22"/>
        </w:rPr>
        <w:t xml:space="preserve"> es el stock disponible al inicio del período. Este indicador es preferido cuando los quiebres son cortos pero de alto volumen.</w:t>
      </w:r>
    </w:p>
    <w:p>
      <w:pPr>
        <w:spacing w:after="60" w:before="60"/>
      </w:pPr>
      <w:r>
        <w:t xml:space="preserve"/>
      </w:r>
    </w:p>
    <w:p>
      <w:pPr>
        <w:spacing w:after="80" w:before="220"/>
      </w:pPr>
      <w:r>
        <w:rPr>
          <w:rFonts w:ascii="Arial" w:cs="Arial" w:eastAsia="Arial" w:hAnsi="Arial"/>
          <w:b/>
          <w:bCs/>
          <w:color w:val="1A1A2E"/>
          <w:sz w:val="24"/>
          <w:szCs w:val="24"/>
        </w:rPr>
        <w:t xml:space="preserve">3.2.3 Rotación de inventario</w:t>
      </w:r>
    </w:p>
    <w:p>
      <w:pPr>
        <w:spacing w:after="80" w:before="80"/>
        <w:jc w:val="both"/>
      </w:pPr>
      <w:r>
        <w:rPr>
          <w:rFonts w:ascii="Arial" w:cs="Arial" w:eastAsia="Arial" w:hAnsi="Arial"/>
          <w:color w:val="333333"/>
          <w:sz w:val="22"/>
          <w:szCs w:val="22"/>
        </w:rPr>
        <w:t xml:space="preserve">La rotación de inventario (RI) mide cuántas veces el inventario promedio es vendido y reemplazado durante un período de referencia (generalmente un año). Es un indicador de eficiencia operacional:</w:t>
      </w:r>
    </w:p>
    <w:p>
      <w:pPr>
        <w:spacing w:after="140" w:before="140"/>
        <w:jc w:val="center"/>
      </w:pPr>
      <w:r>
        <w:rPr>
          <w:rFonts w:ascii="Courier New" w:cs="Courier New" w:eastAsia="Courier New" w:hAnsi="Courier New"/>
          <w:b/>
          <w:bCs/>
          <w:color w:val="1A1A2E"/>
          <w:sz w:val="22"/>
          <w:szCs w:val="22"/>
        </w:rPr>
        <w:t xml:space="preserve">RI = Ventas anuales (unidades) / Stock promedio (unidades)</w:t>
      </w:r>
    </w:p>
    <w:p>
      <w:pPr>
        <w:spacing w:after="80" w:before="80"/>
        <w:jc w:val="both"/>
      </w:pPr>
      <w:r>
        <w:rPr>
          <w:rFonts w:ascii="Arial" w:cs="Arial" w:eastAsia="Arial" w:hAnsi="Arial"/>
          <w:color w:val="333333"/>
          <w:sz w:val="22"/>
          <w:szCs w:val="22"/>
        </w:rPr>
        <w:t xml:space="preserve">Una rotación alta indica que el inventario se renueva frecuentemente —señal de eficiencia— mientras que una rotación baja sugiere sobrestock. En el sector retail de alimentos, una RI de 12–26 es considerada normal (renovación mensual a quincenal). En ferretería o insumos, valores de 4–8 son típicos.</w:t>
      </w:r>
    </w:p>
    <w:p>
      <w:pPr>
        <w:spacing w:after="60" w:before="60"/>
      </w:pPr>
      <w:r>
        <w:t xml:space="preserve"/>
      </w:r>
    </w:p>
    <w:p>
      <w:pPr>
        <w:spacing w:after="80" w:before="80"/>
        <w:jc w:val="both"/>
      </w:pPr>
      <w:r>
        <w:rPr>
          <w:rFonts w:ascii="Arial" w:cs="Arial" w:eastAsia="Arial" w:hAnsi="Arial"/>
          <w:color w:val="333333"/>
          <w:sz w:val="22"/>
          <w:szCs w:val="22"/>
        </w:rPr>
        <w:t xml:space="preserve">En esta tesis, la RI se reporta por categoría de producto para identificar familias de SKUs con posible sobrestock crónico o con gestión especialmente eficiente tras implementar el sistema propuesto.</w:t>
      </w:r>
    </w:p>
    <w:p>
      <w:pPr>
        <w:spacing w:after="60" w:before="60"/>
      </w:pPr>
      <w:r>
        <w:t xml:space="preserve"/>
      </w:r>
    </w:p>
    <w:p>
      <w:pPr>
        <w:spacing w:after="80" w:before="220"/>
      </w:pPr>
      <w:r>
        <w:rPr>
          <w:rFonts w:ascii="Arial" w:cs="Arial" w:eastAsia="Arial" w:hAnsi="Arial"/>
          <w:b/>
          <w:bCs/>
          <w:color w:val="1A1A2E"/>
          <w:sz w:val="24"/>
          <w:szCs w:val="24"/>
        </w:rPr>
        <w:t xml:space="preserve">3.2.4 Nivel de servicio (Service Level)</w:t>
      </w:r>
    </w:p>
    <w:p>
      <w:pPr>
        <w:spacing w:after="80" w:before="80"/>
        <w:jc w:val="both"/>
      </w:pPr>
      <w:r>
        <w:rPr>
          <w:rFonts w:ascii="Arial" w:cs="Arial" w:eastAsia="Arial" w:hAnsi="Arial"/>
          <w:color w:val="333333"/>
          <w:sz w:val="22"/>
          <w:szCs w:val="22"/>
        </w:rPr>
        <w:t xml:space="preserve">El nivel de servicio (NS) es la proporción de la demanda que es satisfecha directamente desde el stock disponible, sin quiebre:</w:t>
      </w:r>
    </w:p>
    <w:p>
      <w:pPr>
        <w:spacing w:after="140" w:before="140"/>
        <w:jc w:val="center"/>
      </w:pPr>
      <w:r>
        <w:rPr>
          <w:rFonts w:ascii="Courier New" w:cs="Courier New" w:eastAsia="Courier New" w:hAnsi="Courier New"/>
          <w:b/>
          <w:bCs/>
          <w:color w:val="1A1A2E"/>
          <w:sz w:val="22"/>
          <w:szCs w:val="22"/>
        </w:rPr>
        <w:t xml:space="preserve">NS = (1 − DI / Demanda total) × 100</w:t>
      </w:r>
    </w:p>
    <w:p>
      <w:pPr>
        <w:spacing w:after="80" w:before="80"/>
        <w:jc w:val="both"/>
      </w:pPr>
      <w:r>
        <w:rPr>
          <w:rFonts w:ascii="Arial" w:cs="Arial" w:eastAsia="Arial" w:hAnsi="Arial"/>
          <w:color w:val="333333"/>
          <w:sz w:val="22"/>
          <w:szCs w:val="22"/>
        </w:rPr>
        <w:t xml:space="preserve">Se expresa como porcentaje. Un NS del 95% significa que el 95% de las unidades demandadas fueron entregadas a tiempo desde stock. El NS es la métrica que define el balance entre capital inmovilizado y quiebre: aumentar el safety stock eleva el NS pero también el CI; reducirlo libera capital pero arriesga quiebres.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Sector / tipo de producto</w:t>
            </w:r>
          </w:p>
        </w:tc>
        <w:tc>
          <w:tcPr>
            <w:tcW w:type="dxa" w:w="5526"/>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pPr>
              <w:jc w:val="both"/>
            </w:pPr>
            <w:r>
              <w:rPr>
                <w:rFonts w:ascii="Arial" w:cs="Arial" w:eastAsia="Arial" w:hAnsi="Arial"/>
                <w:b/>
                <w:bCs/>
                <w:color w:val="FFFFFF"/>
                <w:sz w:val="20"/>
                <w:szCs w:val="20"/>
              </w:rPr>
              <w:t xml:space="preserve">Nivel de servicio objetivo típico</w:t>
            </w:r>
          </w:p>
        </w:tc>
      </w:tr>
      <w:tr>
        <w:trPr>
          <w:tblHeader w:val="false"/>
        </w:trPr>
        <w:tc>
          <w:tcPr>
            <w:tcW w:type="dxa" w:w="35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Alimentos y bebidas (alta rotación)</w:t>
            </w:r>
          </w:p>
        </w:tc>
        <w:tc>
          <w:tcPr>
            <w:tcW w:type="dxa" w:w="5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97% – 99%</w:t>
            </w:r>
          </w:p>
        </w:tc>
      </w:tr>
      <w:tr>
        <w:trPr>
          <w:tblHeader w:val="false"/>
        </w:trPr>
        <w:tc>
          <w:tcPr>
            <w:tcW w:type="dxa" w:w="35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Farmacia / medicamentos esenciales</w:t>
            </w:r>
          </w:p>
        </w:tc>
        <w:tc>
          <w:tcPr>
            <w:tcW w:type="dxa" w:w="5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98% – 99.5%</w:t>
            </w:r>
          </w:p>
        </w:tc>
      </w:tr>
      <w:tr>
        <w:trPr>
          <w:tblHeader w:val="false"/>
        </w:trPr>
        <w:tc>
          <w:tcPr>
            <w:tcW w:type="dxa" w:w="35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Ferretería / materiales de construcción</w:t>
            </w:r>
          </w:p>
        </w:tc>
        <w:tc>
          <w:tcPr>
            <w:tcW w:type="dxa" w:w="5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92% – 96%</w:t>
            </w:r>
          </w:p>
        </w:tc>
      </w:tr>
      <w:tr>
        <w:trPr>
          <w:tblHeader w:val="false"/>
        </w:trPr>
        <w:tc>
          <w:tcPr>
            <w:tcW w:type="dxa" w:w="35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Insumos agrícolas (estacionales)</w:t>
            </w:r>
          </w:p>
        </w:tc>
        <w:tc>
          <w:tcPr>
            <w:tcW w:type="dxa" w:w="5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88% – 95%</w:t>
            </w:r>
          </w:p>
        </w:tc>
      </w:tr>
      <w:tr>
        <w:trPr>
          <w:tblHeader w:val="false"/>
        </w:trPr>
        <w:tc>
          <w:tcPr>
            <w:tcW w:type="dxa" w:w="35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Referencia para este estudio (multi-rubro)</w:t>
            </w:r>
          </w:p>
        </w:tc>
        <w:tc>
          <w:tcPr>
            <w:tcW w:type="dxa" w:w="5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 95% como umbral mínimo aceptable</w:t>
            </w:r>
          </w:p>
        </w:tc>
      </w:tr>
    </w:tbl>
    <w:p>
      <w:pPr>
        <w:spacing w:after="60" w:before="60"/>
      </w:pPr>
      <w:r>
        <w:t xml:space="preserve"/>
      </w:r>
    </w:p>
    <w:p>
      <w:pPr>
        <w:spacing w:after="80" w:before="220"/>
      </w:pPr>
      <w:r>
        <w:rPr>
          <w:rFonts w:ascii="Arial" w:cs="Arial" w:eastAsia="Arial" w:hAnsi="Arial"/>
          <w:b/>
          <w:bCs/>
          <w:color w:val="1A1A2E"/>
          <w:sz w:val="24"/>
          <w:szCs w:val="24"/>
        </w:rPr>
        <w:t xml:space="preserve">3.2.5 Costo total de inventario (CTI)</w:t>
      </w:r>
    </w:p>
    <w:p>
      <w:pPr>
        <w:spacing w:after="80" w:before="80"/>
        <w:jc w:val="both"/>
      </w:pPr>
      <w:r>
        <w:rPr>
          <w:rFonts w:ascii="Arial" w:cs="Arial" w:eastAsia="Arial" w:hAnsi="Arial"/>
          <w:color w:val="333333"/>
          <w:sz w:val="22"/>
          <w:szCs w:val="22"/>
        </w:rPr>
        <w:t xml:space="preserve">El costo total de inventario integra en una sola métrica los componentes de costo relevantes de la gestión de stock:</w:t>
      </w:r>
    </w:p>
    <w:p>
      <w:pPr>
        <w:spacing w:after="140" w:before="140"/>
        <w:jc w:val="center"/>
      </w:pPr>
      <w:r>
        <w:rPr>
          <w:rFonts w:ascii="Courier New" w:cs="Courier New" w:eastAsia="Courier New" w:hAnsi="Courier New"/>
          <w:b/>
          <w:bCs/>
          <w:color w:val="1A1A2E"/>
          <w:sz w:val="22"/>
          <w:szCs w:val="22"/>
        </w:rPr>
        <w:t xml:space="preserve">CTI = C_a + C_p + C_q</w:t>
      </w:r>
    </w:p>
    <w:p>
      <w:pPr>
        <w:spacing w:after="80" w:before="80"/>
        <w:jc w:val="both"/>
      </w:pPr>
      <w:r>
        <w:rPr>
          <w:rFonts w:ascii="Arial" w:cs="Arial" w:eastAsia="Arial" w:hAnsi="Arial"/>
          <w:color w:val="333333"/>
          <w:sz w:val="22"/>
          <w:szCs w:val="22"/>
        </w:rPr>
        <w:t xml:space="preserve">donde </w:t>
      </w:r>
      <w:r>
        <w:rPr>
          <w:rFonts w:ascii="Arial" w:cs="Arial" w:eastAsia="Arial" w:hAnsi="Arial"/>
          <w:i/>
          <w:iCs/>
          <w:color w:val="333333"/>
          <w:sz w:val="22"/>
          <w:szCs w:val="22"/>
        </w:rPr>
        <w:t xml:space="preserve">C_a</w:t>
      </w:r>
      <w:r>
        <w:rPr>
          <w:rFonts w:ascii="Arial" w:cs="Arial" w:eastAsia="Arial" w:hAnsi="Arial"/>
          <w:color w:val="333333"/>
          <w:sz w:val="22"/>
          <w:szCs w:val="22"/>
        </w:rPr>
        <w:t xml:space="preserve"> es el costo de almacenamiento (holding cost), calculado como </w:t>
      </w:r>
      <w:r>
        <w:rPr>
          <w:rFonts w:ascii="Arial" w:cs="Arial" w:eastAsia="Arial" w:hAnsi="Arial"/>
          <w:i/>
          <w:iCs/>
          <w:color w:val="333333"/>
          <w:sz w:val="22"/>
          <w:szCs w:val="22"/>
        </w:rPr>
        <w:t xml:space="preserve">i × CI</w:t>
      </w:r>
      <w:r>
        <w:rPr>
          <w:rFonts w:ascii="Arial" w:cs="Arial" w:eastAsia="Arial" w:hAnsi="Arial"/>
          <w:color w:val="333333"/>
          <w:sz w:val="22"/>
          <w:szCs w:val="22"/>
        </w:rPr>
        <w:t xml:space="preserve"> con </w:t>
      </w:r>
      <w:r>
        <w:rPr>
          <w:rFonts w:ascii="Arial" w:cs="Arial" w:eastAsia="Arial" w:hAnsi="Arial"/>
          <w:i/>
          <w:iCs/>
          <w:color w:val="333333"/>
          <w:sz w:val="22"/>
          <w:szCs w:val="22"/>
        </w:rPr>
        <w:t xml:space="preserve">i</w:t>
      </w:r>
      <w:r>
        <w:rPr>
          <w:rFonts w:ascii="Arial" w:cs="Arial" w:eastAsia="Arial" w:hAnsi="Arial"/>
          <w:color w:val="333333"/>
          <w:sz w:val="22"/>
          <w:szCs w:val="22"/>
        </w:rPr>
        <w:t xml:space="preserve"> la tasa de costo de mantener el inventario (típicamente 20–30% anual del valor del stock); </w:t>
      </w:r>
      <w:r>
        <w:rPr>
          <w:rFonts w:ascii="Arial" w:cs="Arial" w:eastAsia="Arial" w:hAnsi="Arial"/>
          <w:i/>
          <w:iCs/>
          <w:color w:val="333333"/>
          <w:sz w:val="22"/>
          <w:szCs w:val="22"/>
        </w:rPr>
        <w:t xml:space="preserve">C_p</w:t>
      </w:r>
      <w:r>
        <w:rPr>
          <w:rFonts w:ascii="Arial" w:cs="Arial" w:eastAsia="Arial" w:hAnsi="Arial"/>
          <w:color w:val="333333"/>
          <w:sz w:val="22"/>
          <w:szCs w:val="22"/>
        </w:rPr>
        <w:t xml:space="preserve"> es el costo de realizar pedidos (ordering cost), calculado como el número de órdenes emitidas multiplicado por el costo fijo de orden; y </w:t>
      </w:r>
      <w:r>
        <w:rPr>
          <w:rFonts w:ascii="Arial" w:cs="Arial" w:eastAsia="Arial" w:hAnsi="Arial"/>
          <w:i/>
          <w:iCs/>
          <w:color w:val="333333"/>
          <w:sz w:val="22"/>
          <w:szCs w:val="22"/>
        </w:rPr>
        <w:t xml:space="preserve">C_q</w:t>
      </w:r>
      <w:r>
        <w:rPr>
          <w:rFonts w:ascii="Arial" w:cs="Arial" w:eastAsia="Arial" w:hAnsi="Arial"/>
          <w:color w:val="333333"/>
          <w:sz w:val="22"/>
          <w:szCs w:val="22"/>
        </w:rPr>
        <w:t xml:space="preserve"> es el costo de quiebre (stockout cost), estimado como el margen perdido por unidad no vendida.</w:t>
      </w:r>
    </w:p>
    <w:p>
      <w:pPr>
        <w:spacing w:after="60" w:before="60"/>
      </w:pPr>
      <w:r>
        <w:t xml:space="preserve"/>
      </w:r>
    </w:p>
    <w:p>
      <w:pPr>
        <w:spacing w:after="80" w:before="80"/>
        <w:jc w:val="both"/>
      </w:pPr>
      <w:r>
        <w:rPr>
          <w:rFonts w:ascii="Arial" w:cs="Arial" w:eastAsia="Arial" w:hAnsi="Arial"/>
          <w:color w:val="333333"/>
          <w:sz w:val="22"/>
          <w:szCs w:val="22"/>
        </w:rPr>
        <w:t xml:space="preserve">El CTI es la métrica de síntesis del módulo de inventario: permite comparar las políticas EOQ y (s,S) en términos económicos directos, yendo más allá de comparar métricas individuales.</w:t>
      </w:r>
    </w:p>
    <w:p>
      <w:pPr>
        <w:spacing w:after="60" w:before="60"/>
      </w:pPr>
      <w:r>
        <w:t xml:space="preserve"/>
      </w:r>
    </w:p>
    <w:p>
      <w:pPr>
        <w:pStyle w:val="Heading2"/>
        <w:spacing w:after="120" w:before="280"/>
      </w:pPr>
      <w:r>
        <w:rPr>
          <w:rFonts w:ascii="Arial" w:cs="Arial" w:eastAsia="Arial" w:hAnsi="Arial"/>
          <w:b/>
          <w:bCs/>
          <w:color w:val="2E5BA8"/>
          <w:sz w:val="26"/>
          <w:szCs w:val="26"/>
        </w:rPr>
        <w:t xml:space="preserve">3.3 Cuadro integrado de métricas del sistema</w:t>
      </w:r>
    </w:p>
    <w:p>
      <w:pPr>
        <w:spacing w:after="80" w:before="80"/>
        <w:jc w:val="both"/>
      </w:pPr>
      <w:r>
        <w:rPr>
          <w:rFonts w:ascii="Arial" w:cs="Arial" w:eastAsia="Arial" w:hAnsi="Arial"/>
          <w:color w:val="333333"/>
          <w:sz w:val="22"/>
          <w:szCs w:val="22"/>
        </w:rPr>
        <w:t xml:space="preserve">La siguiente tabla presenta todas las métricas utilizadas en esta tesis, organizadas por dimensión de evaluación, con sus fórmulas, unidades y rol en el análisis: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400"/>
        <w:gridCol w:w="2000"/>
        <w:gridCol w:w="2026"/>
      </w:tblGrid>
      <w:tr>
        <w:trPr>
          <w:tblHeader/>
        </w:trPr>
        <w:tc>
          <w:tcPr>
            <w:tcW w:type="dxa" w:w="1600"/>
            <w:tcBorders>
              <w:top w:val="single" w:color="DDDDDD" w:sz="1"/>
              <w:left w:val="single" w:color="DDDDDD" w:sz="1"/>
              <w:bottom w:val="single" w:color="DDDDDD" w:sz="1"/>
              <w:right w:val="single" w:color="DDDDDD" w:sz="1"/>
            </w:tcBorders>
            <w:shd w:fill="2E5BA8" w:val="clear"/>
            <w:tcMar>
              <w:top w:type="dxa" w:w="80"/>
              <w:left w:type="dxa" w:w="100"/>
              <w:bottom w:type="dxa" w:w="80"/>
              <w:right w:type="dxa" w:w="100"/>
            </w:tcMar>
          </w:tcPr>
          <w:p>
            <w:r>
              <w:rPr>
                <w:rFonts w:ascii="Arial" w:cs="Arial" w:eastAsia="Arial" w:hAnsi="Arial"/>
                <w:b/>
                <w:bCs/>
                <w:color w:val="FFFFFF"/>
                <w:sz w:val="19"/>
                <w:szCs w:val="19"/>
              </w:rPr>
              <w:t xml:space="preserve">Métrica</w:t>
            </w:r>
          </w:p>
        </w:tc>
        <w:tc>
          <w:tcPr>
            <w:tcW w:type="dxa" w:w="2000"/>
            <w:tcBorders>
              <w:top w:val="single" w:color="DDDDDD" w:sz="1"/>
              <w:left w:val="single" w:color="DDDDDD" w:sz="1"/>
              <w:bottom w:val="single" w:color="DDDDDD" w:sz="1"/>
              <w:right w:val="single" w:color="DDDDDD" w:sz="1"/>
            </w:tcBorders>
            <w:shd w:fill="2E5BA8" w:val="clear"/>
            <w:tcMar>
              <w:top w:type="dxa" w:w="80"/>
              <w:left w:type="dxa" w:w="100"/>
              <w:bottom w:type="dxa" w:w="80"/>
              <w:right w:type="dxa" w:w="100"/>
            </w:tcMar>
          </w:tcPr>
          <w:p>
            <w:r>
              <w:rPr>
                <w:rFonts w:ascii="Arial" w:cs="Arial" w:eastAsia="Arial" w:hAnsi="Arial"/>
                <w:b/>
                <w:bCs/>
                <w:color w:val="FFFFFF"/>
                <w:sz w:val="19"/>
                <w:szCs w:val="19"/>
              </w:rPr>
              <w:t xml:space="preserve">Fórmula resumida</w:t>
            </w:r>
          </w:p>
        </w:tc>
        <w:tc>
          <w:tcPr>
            <w:tcW w:type="dxa" w:w="1400"/>
            <w:tcBorders>
              <w:top w:val="single" w:color="DDDDDD" w:sz="1"/>
              <w:left w:val="single" w:color="DDDDDD" w:sz="1"/>
              <w:bottom w:val="single" w:color="DDDDDD" w:sz="1"/>
              <w:right w:val="single" w:color="DDDDDD" w:sz="1"/>
            </w:tcBorders>
            <w:shd w:fill="2E5BA8" w:val="clear"/>
            <w:tcMar>
              <w:top w:type="dxa" w:w="80"/>
              <w:left w:type="dxa" w:w="100"/>
              <w:bottom w:type="dxa" w:w="80"/>
              <w:right w:type="dxa" w:w="100"/>
            </w:tcMar>
          </w:tcPr>
          <w:p>
            <w:r>
              <w:rPr>
                <w:rFonts w:ascii="Arial" w:cs="Arial" w:eastAsia="Arial" w:hAnsi="Arial"/>
                <w:b/>
                <w:bCs/>
                <w:color w:val="FFFFFF"/>
                <w:sz w:val="19"/>
                <w:szCs w:val="19"/>
              </w:rPr>
              <w:t xml:space="preserve">Unidad</w:t>
            </w:r>
          </w:p>
        </w:tc>
        <w:tc>
          <w:tcPr>
            <w:tcW w:type="dxa" w:w="2000"/>
            <w:tcBorders>
              <w:top w:val="single" w:color="DDDDDD" w:sz="1"/>
              <w:left w:val="single" w:color="DDDDDD" w:sz="1"/>
              <w:bottom w:val="single" w:color="DDDDDD" w:sz="1"/>
              <w:right w:val="single" w:color="DDDDDD" w:sz="1"/>
            </w:tcBorders>
            <w:shd w:fill="2E5BA8" w:val="clear"/>
            <w:tcMar>
              <w:top w:type="dxa" w:w="80"/>
              <w:left w:type="dxa" w:w="100"/>
              <w:bottom w:type="dxa" w:w="80"/>
              <w:right w:type="dxa" w:w="100"/>
            </w:tcMar>
          </w:tcPr>
          <w:p>
            <w:r>
              <w:rPr>
                <w:rFonts w:ascii="Arial" w:cs="Arial" w:eastAsia="Arial" w:hAnsi="Arial"/>
                <w:b/>
                <w:bCs/>
                <w:color w:val="FFFFFF"/>
                <w:sz w:val="19"/>
                <w:szCs w:val="19"/>
              </w:rPr>
              <w:t xml:space="preserve">Rango ideal</w:t>
            </w:r>
          </w:p>
        </w:tc>
        <w:tc>
          <w:tcPr>
            <w:tcW w:type="dxa" w:w="2026"/>
            <w:tcBorders>
              <w:top w:val="single" w:color="DDDDDD" w:sz="1"/>
              <w:left w:val="single" w:color="DDDDDD" w:sz="1"/>
              <w:bottom w:val="single" w:color="DDDDDD" w:sz="1"/>
              <w:right w:val="single" w:color="DDDDDD" w:sz="1"/>
            </w:tcBorders>
            <w:shd w:fill="2E5BA8" w:val="clear"/>
            <w:tcMar>
              <w:top w:type="dxa" w:w="80"/>
              <w:left w:type="dxa" w:w="100"/>
              <w:bottom w:type="dxa" w:w="80"/>
              <w:right w:type="dxa" w:w="100"/>
            </w:tcMar>
          </w:tcPr>
          <w:p>
            <w:r>
              <w:rPr>
                <w:rFonts w:ascii="Arial" w:cs="Arial" w:eastAsia="Arial" w:hAnsi="Arial"/>
                <w:b/>
                <w:bCs/>
                <w:color w:val="FFFFFF"/>
                <w:sz w:val="19"/>
                <w:szCs w:val="19"/>
              </w:rPr>
              <w:t xml:space="preserve">Rol en tesis</w:t>
            </w:r>
          </w:p>
        </w:tc>
      </w:tr>
      <w:tr>
        <w:tc>
          <w:tcPr>
            <w:tcW w:type="dxa" w:w="1600"/>
            <w:tcBorders>
              <w:top w:val="single" w:color="DDDDDD" w:sz="1"/>
              <w:left w:val="single" w:color="DDDDDD" w:sz="1"/>
              <w:bottom w:val="single" w:color="DDDDDD" w:sz="1"/>
              <w:right w:val="single" w:color="DDDDDD" w:sz="1"/>
            </w:tcBorders>
            <w:shd w:fill="F5F7FA" w:val="clear"/>
            <w:tcMar>
              <w:top w:type="dxa" w:w="75"/>
              <w:left w:type="dxa" w:w="100"/>
              <w:bottom w:type="dxa" w:w="75"/>
              <w:right w:type="dxa" w:w="100"/>
            </w:tcMar>
          </w:tcPr>
          <w:p>
            <w:pPr>
              <w:jc w:val="both"/>
            </w:pPr>
            <w:r>
              <w:rPr>
                <w:rFonts w:ascii="Arial" w:cs="Arial" w:eastAsia="Arial" w:hAnsi="Arial"/>
                <w:b/>
                <w:bCs/>
                <w:color w:val="333333"/>
                <w:sz w:val="19"/>
                <w:szCs w:val="19"/>
              </w:rPr>
              <w:t xml:space="preserve">MAPE</w:t>
            </w:r>
          </w:p>
        </w:tc>
        <w:tc>
          <w:tcPr>
            <w:tcW w:type="dxa" w:w="200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(1/n)Σ|error/real|×100</w:t>
            </w:r>
          </w:p>
        </w:tc>
        <w:tc>
          <w:tcPr>
            <w:tcW w:type="dxa" w:w="140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w:t>
            </w:r>
          </w:p>
        </w:tc>
        <w:tc>
          <w:tcPr>
            <w:tcW w:type="dxa" w:w="200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&lt; 10%</w:t>
            </w:r>
          </w:p>
        </w:tc>
        <w:tc>
          <w:tcPr>
            <w:tcW w:type="dxa" w:w="2026"/>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Criterio primario selector AMS</w:t>
            </w:r>
          </w:p>
        </w:tc>
      </w:tr>
      <w:tr>
        <w:tc>
          <w:tcPr>
            <w:tcW w:type="dxa" w:w="1600"/>
            <w:tcBorders>
              <w:top w:val="single" w:color="DDDDDD" w:sz="1"/>
              <w:left w:val="single" w:color="DDDDDD" w:sz="1"/>
              <w:bottom w:val="single" w:color="DDDDDD" w:sz="1"/>
              <w:right w:val="single" w:color="DDDDDD" w:sz="1"/>
            </w:tcBorders>
            <w:shd w:fill="F5F7FA" w:val="clear"/>
            <w:tcMar>
              <w:top w:type="dxa" w:w="75"/>
              <w:left w:type="dxa" w:w="100"/>
              <w:bottom w:type="dxa" w:w="75"/>
              <w:right w:type="dxa" w:w="100"/>
            </w:tcMar>
          </w:tcPr>
          <w:p>
            <w:pPr>
              <w:jc w:val="both"/>
            </w:pPr>
            <w:r>
              <w:rPr>
                <w:rFonts w:ascii="Arial" w:cs="Arial" w:eastAsia="Arial" w:hAnsi="Arial"/>
                <w:b/>
                <w:bCs/>
                <w:color w:val="333333"/>
                <w:sz w:val="19"/>
                <w:szCs w:val="19"/>
              </w:rPr>
              <w:t xml:space="preserve">RMSE</w:t>
            </w:r>
          </w:p>
        </w:tc>
        <w:tc>
          <w:tcPr>
            <w:tcW w:type="dxa" w:w="200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√[(1/n)Σerror²]</w:t>
            </w:r>
          </w:p>
        </w:tc>
        <w:tc>
          <w:tcPr>
            <w:tcW w:type="dxa" w:w="140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Unidades vendidas</w:t>
            </w:r>
          </w:p>
        </w:tc>
        <w:tc>
          <w:tcPr>
            <w:tcW w:type="dxa" w:w="200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Minimizar</w:t>
            </w:r>
          </w:p>
        </w:tc>
        <w:tc>
          <w:tcPr>
            <w:tcW w:type="dxa" w:w="2026"/>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Criterio alternativo (demanda intermitente)</w:t>
            </w:r>
          </w:p>
        </w:tc>
      </w:tr>
      <w:tr>
        <w:tc>
          <w:tcPr>
            <w:tcW w:type="dxa" w:w="1600"/>
            <w:tcBorders>
              <w:top w:val="single" w:color="DDDDDD" w:sz="1"/>
              <w:left w:val="single" w:color="DDDDDD" w:sz="1"/>
              <w:bottom w:val="single" w:color="DDDDDD" w:sz="1"/>
              <w:right w:val="single" w:color="DDDDDD" w:sz="1"/>
            </w:tcBorders>
            <w:shd w:fill="F5F7FA" w:val="clear"/>
            <w:tcMar>
              <w:top w:type="dxa" w:w="75"/>
              <w:left w:type="dxa" w:w="100"/>
              <w:bottom w:type="dxa" w:w="75"/>
              <w:right w:type="dxa" w:w="100"/>
            </w:tcMar>
          </w:tcPr>
          <w:p>
            <w:pPr>
              <w:jc w:val="both"/>
            </w:pPr>
            <w:r>
              <w:rPr>
                <w:rFonts w:ascii="Arial" w:cs="Arial" w:eastAsia="Arial" w:hAnsi="Arial"/>
                <w:b/>
                <w:bCs/>
                <w:color w:val="333333"/>
                <w:sz w:val="19"/>
                <w:szCs w:val="19"/>
              </w:rPr>
              <w:t xml:space="preserve">MAE</w:t>
            </w:r>
          </w:p>
        </w:tc>
        <w:tc>
          <w:tcPr>
            <w:tcW w:type="dxa" w:w="200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(1/n)Σ|error|</w:t>
            </w:r>
          </w:p>
        </w:tc>
        <w:tc>
          <w:tcPr>
            <w:tcW w:type="dxa" w:w="140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Unidades vendidas</w:t>
            </w:r>
          </w:p>
        </w:tc>
        <w:tc>
          <w:tcPr>
            <w:tcW w:type="dxa" w:w="200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Minimizar</w:t>
            </w:r>
          </w:p>
        </w:tc>
        <w:tc>
          <w:tcPr>
            <w:tcW w:type="dxa" w:w="2026"/>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Métrica complementaria / diagnóstico</w:t>
            </w:r>
          </w:p>
        </w:tc>
      </w:tr>
      <w:tr>
        <w:tc>
          <w:tcPr>
            <w:tcW w:type="dxa" w:w="1600"/>
            <w:tcBorders>
              <w:top w:val="single" w:color="DDDDDD" w:sz="1"/>
              <w:left w:val="single" w:color="DDDDDD" w:sz="1"/>
              <w:bottom w:val="single" w:color="DDDDDD" w:sz="1"/>
              <w:right w:val="single" w:color="DDDDDD" w:sz="1"/>
            </w:tcBorders>
            <w:shd w:fill="EAF3DE" w:val="clear"/>
            <w:tcMar>
              <w:top w:type="dxa" w:w="75"/>
              <w:left w:type="dxa" w:w="100"/>
              <w:bottom w:type="dxa" w:w="75"/>
              <w:right w:type="dxa" w:w="100"/>
            </w:tcMar>
          </w:tcPr>
          <w:p>
            <w:pPr>
              <w:jc w:val="both"/>
            </w:pPr>
            <w:r>
              <w:rPr>
                <w:rFonts w:ascii="Arial" w:cs="Arial" w:eastAsia="Arial" w:hAnsi="Arial"/>
                <w:b/>
                <w:bCs/>
                <w:color w:val="333333"/>
                <w:sz w:val="19"/>
                <w:szCs w:val="19"/>
              </w:rPr>
              <w:t xml:space="preserve">Capital inmovilizado (CI)</w:t>
            </w:r>
          </w:p>
        </w:tc>
        <w:tc>
          <w:tcPr>
            <w:tcW w:type="dxa" w:w="200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Σ(stock_prom × costo_unit)</w:t>
            </w:r>
          </w:p>
        </w:tc>
        <w:tc>
          <w:tcPr>
            <w:tcW w:type="dxa" w:w="140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CLP / USD</w:t>
            </w:r>
          </w:p>
        </w:tc>
        <w:tc>
          <w:tcPr>
            <w:tcW w:type="dxa" w:w="200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Minimizar sin elevar TQ</w:t>
            </w:r>
          </w:p>
        </w:tc>
        <w:tc>
          <w:tcPr>
            <w:tcW w:type="dxa" w:w="2026"/>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Métrica económica principal del inventario</w:t>
            </w:r>
          </w:p>
        </w:tc>
      </w:tr>
      <w:tr>
        <w:tc>
          <w:tcPr>
            <w:tcW w:type="dxa" w:w="1600"/>
            <w:tcBorders>
              <w:top w:val="single" w:color="DDDDDD" w:sz="1"/>
              <w:left w:val="single" w:color="DDDDDD" w:sz="1"/>
              <w:bottom w:val="single" w:color="DDDDDD" w:sz="1"/>
              <w:right w:val="single" w:color="DDDDDD" w:sz="1"/>
            </w:tcBorders>
            <w:shd w:fill="EAF3DE" w:val="clear"/>
            <w:tcMar>
              <w:top w:type="dxa" w:w="75"/>
              <w:left w:type="dxa" w:w="100"/>
              <w:bottom w:type="dxa" w:w="75"/>
              <w:right w:type="dxa" w:w="100"/>
            </w:tcMar>
          </w:tcPr>
          <w:p>
            <w:pPr>
              <w:jc w:val="both"/>
            </w:pPr>
            <w:r>
              <w:rPr>
                <w:rFonts w:ascii="Arial" w:cs="Arial" w:eastAsia="Arial" w:hAnsi="Arial"/>
                <w:b/>
                <w:bCs/>
                <w:color w:val="333333"/>
                <w:sz w:val="19"/>
                <w:szCs w:val="19"/>
              </w:rPr>
              <w:t xml:space="preserve">Tasa de quiebre (TQ)</w:t>
            </w:r>
          </w:p>
        </w:tc>
        <w:tc>
          <w:tcPr>
            <w:tcW w:type="dxa" w:w="200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(períodos sin stock / total)×100</w:t>
            </w:r>
          </w:p>
        </w:tc>
        <w:tc>
          <w:tcPr>
            <w:tcW w:type="dxa" w:w="140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w:t>
            </w:r>
          </w:p>
        </w:tc>
        <w:tc>
          <w:tcPr>
            <w:tcW w:type="dxa" w:w="200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&lt; 5%</w:t>
            </w:r>
          </w:p>
        </w:tc>
        <w:tc>
          <w:tcPr>
            <w:tcW w:type="dxa" w:w="2026"/>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Indicador de nivel de servicio</w:t>
            </w:r>
          </w:p>
        </w:tc>
      </w:tr>
      <w:tr>
        <w:tc>
          <w:tcPr>
            <w:tcW w:type="dxa" w:w="1600"/>
            <w:tcBorders>
              <w:top w:val="single" w:color="DDDDDD" w:sz="1"/>
              <w:left w:val="single" w:color="DDDDDD" w:sz="1"/>
              <w:bottom w:val="single" w:color="DDDDDD" w:sz="1"/>
              <w:right w:val="single" w:color="DDDDDD" w:sz="1"/>
            </w:tcBorders>
            <w:shd w:fill="EAF3DE" w:val="clear"/>
            <w:tcMar>
              <w:top w:type="dxa" w:w="75"/>
              <w:left w:type="dxa" w:w="100"/>
              <w:bottom w:type="dxa" w:w="75"/>
              <w:right w:type="dxa" w:w="100"/>
            </w:tcMar>
          </w:tcPr>
          <w:p>
            <w:pPr>
              <w:jc w:val="both"/>
            </w:pPr>
            <w:r>
              <w:rPr>
                <w:rFonts w:ascii="Arial" w:cs="Arial" w:eastAsia="Arial" w:hAnsi="Arial"/>
                <w:b/>
                <w:bCs/>
                <w:color w:val="333333"/>
                <w:sz w:val="19"/>
                <w:szCs w:val="19"/>
              </w:rPr>
              <w:t xml:space="preserve">Rotación de inventario (RI)</w:t>
            </w:r>
          </w:p>
        </w:tc>
        <w:tc>
          <w:tcPr>
            <w:tcW w:type="dxa" w:w="200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Ventas anuales / stock promedio</w:t>
            </w:r>
          </w:p>
        </w:tc>
        <w:tc>
          <w:tcPr>
            <w:tcW w:type="dxa" w:w="140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veces/año</w:t>
            </w:r>
          </w:p>
        </w:tc>
        <w:tc>
          <w:tcPr>
            <w:tcW w:type="dxa" w:w="200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Según rubro</w:t>
            </w:r>
          </w:p>
        </w:tc>
        <w:tc>
          <w:tcPr>
            <w:tcW w:type="dxa" w:w="2026"/>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Eficiencia operacional</w:t>
            </w:r>
          </w:p>
        </w:tc>
      </w:tr>
      <w:tr>
        <w:tc>
          <w:tcPr>
            <w:tcW w:type="dxa" w:w="1600"/>
            <w:tcBorders>
              <w:top w:val="single" w:color="DDDDDD" w:sz="1"/>
              <w:left w:val="single" w:color="DDDDDD" w:sz="1"/>
              <w:bottom w:val="single" w:color="DDDDDD" w:sz="1"/>
              <w:right w:val="single" w:color="DDDDDD" w:sz="1"/>
            </w:tcBorders>
            <w:shd w:fill="EAF3DE" w:val="clear"/>
            <w:tcMar>
              <w:top w:type="dxa" w:w="75"/>
              <w:left w:type="dxa" w:w="100"/>
              <w:bottom w:type="dxa" w:w="75"/>
              <w:right w:type="dxa" w:w="100"/>
            </w:tcMar>
          </w:tcPr>
          <w:p>
            <w:pPr>
              <w:jc w:val="both"/>
            </w:pPr>
            <w:r>
              <w:rPr>
                <w:rFonts w:ascii="Arial" w:cs="Arial" w:eastAsia="Arial" w:hAnsi="Arial"/>
                <w:b/>
                <w:bCs/>
                <w:color w:val="333333"/>
                <w:sz w:val="19"/>
                <w:szCs w:val="19"/>
              </w:rPr>
              <w:t xml:space="preserve">Nivel de servicio (NS)</w:t>
            </w:r>
          </w:p>
        </w:tc>
        <w:tc>
          <w:tcPr>
            <w:tcW w:type="dxa" w:w="200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(1 − DI/demanda)×100</w:t>
            </w:r>
          </w:p>
        </w:tc>
        <w:tc>
          <w:tcPr>
            <w:tcW w:type="dxa" w:w="140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w:t>
            </w:r>
          </w:p>
        </w:tc>
        <w:tc>
          <w:tcPr>
            <w:tcW w:type="dxa" w:w="200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 95%</w:t>
            </w:r>
          </w:p>
        </w:tc>
        <w:tc>
          <w:tcPr>
            <w:tcW w:type="dxa" w:w="2026"/>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Balance CI vs. quiebre</w:t>
            </w:r>
          </w:p>
        </w:tc>
      </w:tr>
      <w:tr>
        <w:tc>
          <w:tcPr>
            <w:tcW w:type="dxa" w:w="1600"/>
            <w:tcBorders>
              <w:top w:val="single" w:color="DDDDDD" w:sz="1"/>
              <w:left w:val="single" w:color="DDDDDD" w:sz="1"/>
              <w:bottom w:val="single" w:color="DDDDDD" w:sz="1"/>
              <w:right w:val="single" w:color="DDDDDD" w:sz="1"/>
            </w:tcBorders>
            <w:shd w:fill="EAF3DE" w:val="clear"/>
            <w:tcMar>
              <w:top w:type="dxa" w:w="75"/>
              <w:left w:type="dxa" w:w="100"/>
              <w:bottom w:type="dxa" w:w="75"/>
              <w:right w:type="dxa" w:w="100"/>
            </w:tcMar>
          </w:tcPr>
          <w:p>
            <w:pPr>
              <w:jc w:val="both"/>
            </w:pPr>
            <w:r>
              <w:rPr>
                <w:rFonts w:ascii="Arial" w:cs="Arial" w:eastAsia="Arial" w:hAnsi="Arial"/>
                <w:b/>
                <w:bCs/>
                <w:color w:val="333333"/>
                <w:sz w:val="19"/>
                <w:szCs w:val="19"/>
              </w:rPr>
              <w:t xml:space="preserve">Costo total inventario (CTI)</w:t>
            </w:r>
          </w:p>
        </w:tc>
        <w:tc>
          <w:tcPr>
            <w:tcW w:type="dxa" w:w="200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C_almac + C_pedido + C_quiebre</w:t>
            </w:r>
          </w:p>
        </w:tc>
        <w:tc>
          <w:tcPr>
            <w:tcW w:type="dxa" w:w="140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CLP / USD</w:t>
            </w:r>
          </w:p>
        </w:tc>
        <w:tc>
          <w:tcPr>
            <w:tcW w:type="dxa" w:w="2000"/>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Minimizar</w:t>
            </w:r>
          </w:p>
        </w:tc>
        <w:tc>
          <w:tcPr>
            <w:tcW w:type="dxa" w:w="2026"/>
            <w:tcBorders>
              <w:top w:val="single" w:color="DDDDDD" w:sz="1"/>
              <w:left w:val="single" w:color="DDDDDD" w:sz="1"/>
              <w:bottom w:val="single" w:color="DDDDDD" w:sz="1"/>
              <w:right w:val="single" w:color="DDDDDD" w:sz="1"/>
            </w:tcBorders>
            <w:shd w:fill="FFFFFF" w:val="clear"/>
            <w:tcMar>
              <w:top w:type="dxa" w:w="75"/>
              <w:left w:type="dxa" w:w="100"/>
              <w:bottom w:type="dxa" w:w="75"/>
              <w:right w:type="dxa" w:w="100"/>
            </w:tcMar>
          </w:tcPr>
          <w:p>
            <w:pPr>
              <w:jc w:val="both"/>
            </w:pPr>
            <w:r>
              <w:rPr>
                <w:rFonts w:ascii="Arial" w:cs="Arial" w:eastAsia="Arial" w:hAnsi="Arial"/>
                <w:b w:val="false"/>
                <w:bCs w:val="false"/>
                <w:color w:val="333333"/>
                <w:sz w:val="19"/>
                <w:szCs w:val="19"/>
              </w:rPr>
              <w:t xml:space="preserve">Síntesis económica del módulo inventario</w:t>
            </w:r>
          </w:p>
        </w:tc>
      </w:tr>
    </w:tbl>
    <w:p>
      <w:pPr>
        <w:spacing w:after="60" w:before="60"/>
      </w:pPr>
      <w:r>
        <w:t xml:space="preserve"/>
      </w:r>
    </w:p>
    <w:p>
      <w:pPr>
        <w:spacing w:after="60" w:before="60"/>
      </w:pPr>
      <w:r>
        <w:t xml:space="preserve"/>
      </w:r>
    </w:p>
    <w:p>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DDDDD" w:sz="1"/>
              <w:left w:val="single" w:color="DDDDDD" w:sz="1"/>
              <w:bottom w:val="single" w:color="DDDDDD" w:sz="1"/>
              <w:right w:val="single" w:color="DDDDDD" w:sz="1"/>
            </w:tcBorders>
            <w:shd w:fill="1A1A2E" w:val="clear"/>
            <w:tcMar>
              <w:top w:type="dxa" w:w="120"/>
              <w:left w:type="dxa" w:w="200"/>
              <w:bottom w:type="dxa" w:w="120"/>
              <w:right w:type="dxa" w:w="200"/>
            </w:tcMar>
          </w:tcPr>
          <w:p>
            <w:r>
              <w:rPr>
                <w:rFonts w:ascii="Arial" w:cs="Arial" w:eastAsia="Arial" w:hAnsi="Arial"/>
                <w:b/>
                <w:bCs/>
                <w:color w:val="FFFFFF"/>
                <w:sz w:val="24"/>
                <w:szCs w:val="24"/>
              </w:rPr>
              <w:t xml:space="preserve">PARTE II — Modelos de gestión de inventario</w:t>
            </w:r>
          </w:p>
        </w:tc>
      </w:tr>
    </w:tbl>
    <w:p>
      <w:pPr>
        <w:spacing w:after="60" w:before="60"/>
      </w:pPr>
      <w:r>
        <w:t xml:space="preserve"/>
      </w:r>
    </w:p>
    <w:p>
      <w:pPr>
        <w:pStyle w:val="Heading1"/>
        <w:spacing w:after="180" w:before="360"/>
      </w:pPr>
      <w:r>
        <w:rPr>
          <w:rFonts w:ascii="Arial" w:cs="Arial" w:eastAsia="Arial" w:hAnsi="Arial"/>
          <w:b/>
          <w:bCs/>
          <w:color w:val="1A1A2E"/>
          <w:sz w:val="32"/>
          <w:szCs w:val="32"/>
        </w:rPr>
        <w:t xml:space="preserve">4. Marco teórico — Gestión de inventario</w:t>
      </w:r>
    </w:p>
    <w:p>
      <w:pPr>
        <w:pStyle w:val="Heading2"/>
        <w:spacing w:after="120" w:before="280"/>
      </w:pPr>
      <w:r>
        <w:rPr>
          <w:rFonts w:ascii="Arial" w:cs="Arial" w:eastAsia="Arial" w:hAnsi="Arial"/>
          <w:b/>
          <w:bCs/>
          <w:color w:val="2E5BA8"/>
          <w:sz w:val="26"/>
          <w:szCs w:val="26"/>
        </w:rPr>
        <w:t xml:space="preserve">4.1 Introducción a la gestión de inventario</w:t>
      </w:r>
    </w:p>
    <w:p>
      <w:pPr>
        <w:spacing w:after="80" w:before="80"/>
        <w:jc w:val="both"/>
      </w:pPr>
      <w:r>
        <w:rPr>
          <w:rFonts w:ascii="Arial" w:cs="Arial" w:eastAsia="Arial" w:hAnsi="Arial"/>
          <w:color w:val="333333"/>
          <w:sz w:val="22"/>
          <w:szCs w:val="22"/>
        </w:rPr>
        <w:t xml:space="preserve">La gestión de inventario es el conjunto de decisiones y procesos que determinan cuánto stock mantener de cada producto y cuándo y cuánto reabastecerse. En distribuidoras con cientos a miles de SKUs, estas decisiones tienen impacto directo en el capital de trabajo, la capacidad de bodega y el nivel de servicio al cliente.</w:t>
      </w:r>
    </w:p>
    <w:p>
      <w:pPr>
        <w:spacing w:after="60" w:before="60"/>
      </w:pPr>
      <w:r>
        <w:t xml:space="preserve"/>
      </w:r>
    </w:p>
    <w:p>
      <w:pPr>
        <w:spacing w:after="80" w:before="80"/>
        <w:jc w:val="both"/>
      </w:pPr>
      <w:r>
        <w:rPr>
          <w:rFonts w:ascii="Arial" w:cs="Arial" w:eastAsia="Arial" w:hAnsi="Arial"/>
          <w:color w:val="333333"/>
          <w:sz w:val="22"/>
          <w:szCs w:val="22"/>
        </w:rPr>
        <w:t xml:space="preserve">La teoría clásica de inventario distingue dos decisiones fundamentales que cualquier política de reabastecimiento debe responder: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Decisión</w:t>
            </w:r>
          </w:p>
        </w:tc>
        <w:tc>
          <w:tcPr>
            <w:tcW w:type="dxa" w:w="6026"/>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pPr>
              <w:jc w:val="both"/>
            </w:pPr>
            <w:r>
              <w:rPr>
                <w:rFonts w:ascii="Arial" w:cs="Arial" w:eastAsia="Arial" w:hAnsi="Arial"/>
                <w:b/>
                <w:bCs/>
                <w:color w:val="FFFFFF"/>
                <w:sz w:val="20"/>
                <w:szCs w:val="20"/>
              </w:rPr>
              <w:t xml:space="preserve">Descripción</w:t>
            </w:r>
          </w:p>
        </w:tc>
      </w:tr>
      <w:tr>
        <w:trPr>
          <w:tblHeader w:val="false"/>
        </w:trPr>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¿Cuánto pedir? (Q)</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La cantidad óptima a ordenar en cada reabastecimiento, que minimiza el costo total de almacenamiento más el costo de pedido.</w:t>
            </w:r>
          </w:p>
        </w:tc>
      </w:tr>
      <w:tr>
        <w:trPr>
          <w:tblHeader w:val="false"/>
        </w:trPr>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¿Cuándo pedir? (s)</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El momento o nivel de stock en que se debe disparar una orden de compra, considerando el lead time del proveedor y la incertidumbre de la demanda.</w:t>
            </w:r>
          </w:p>
        </w:tc>
      </w:tr>
    </w:tbl>
    <w:p>
      <w:pPr>
        <w:spacing w:after="60" w:before="60"/>
      </w:pPr>
      <w:r>
        <w:t xml:space="preserve"/>
      </w:r>
    </w:p>
    <w:p>
      <w:pPr>
        <w:spacing w:after="80" w:before="80"/>
        <w:jc w:val="both"/>
      </w:pPr>
      <w:r>
        <w:rPr>
          <w:rFonts w:ascii="Arial" w:cs="Arial" w:eastAsia="Arial" w:hAnsi="Arial"/>
          <w:color w:val="333333"/>
          <w:sz w:val="22"/>
          <w:szCs w:val="22"/>
        </w:rPr>
        <w:t xml:space="preserve">Esta tesis implementa y compara dos políticas clásicas que responden estas preguntas de forma distinta: el modelo EOQ, que asume demanda determinista y constante, y la política (s,S), que trabaja con demanda variable y estocástica —condición más realista en distribuidoras con múltiples SKUs y patrones de demanda heterogéneos.</w:t>
      </w:r>
    </w:p>
    <w:p>
      <w:pPr>
        <w:spacing w:after="60" w:before="60"/>
      </w:pPr>
      <w:r>
        <w:t xml:space="preserve"/>
      </w:r>
    </w:p>
    <w:p>
      <w:pPr>
        <w:pStyle w:val="Heading2"/>
        <w:spacing w:after="120" w:before="280"/>
      </w:pPr>
      <w:r>
        <w:rPr>
          <w:rFonts w:ascii="Arial" w:cs="Arial" w:eastAsia="Arial" w:hAnsi="Arial"/>
          <w:b/>
          <w:bCs/>
          <w:color w:val="2E5BA8"/>
          <w:sz w:val="26"/>
          <w:szCs w:val="26"/>
        </w:rPr>
        <w:t xml:space="preserve">4.2 Conceptos fundamentales del sistema de inventario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6026"/>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pPr>
              <w:jc w:val="both"/>
            </w:pPr>
            <w:r>
              <w:rPr>
                <w:rFonts w:ascii="Arial" w:cs="Arial" w:eastAsia="Arial" w:hAnsi="Arial"/>
                <w:b/>
                <w:bCs/>
                <w:color w:val="FFFFFF"/>
                <w:sz w:val="20"/>
                <w:szCs w:val="20"/>
              </w:rPr>
              <w:t xml:space="preserve">Definición operacional en esta tesis</w:t>
            </w:r>
          </w:p>
        </w:tc>
      </w:tr>
      <w:tr>
        <w:trPr>
          <w:tblHeader w:val="false"/>
        </w:trPr>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Lead time (L)</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Tiempo transcurrido entre la emisión de una orden de compra y la recepción efectiva de la mercancía. Se modela como valor fijo por proveedor.</w:t>
            </w:r>
          </w:p>
        </w:tc>
      </w:tr>
      <w:tr>
        <w:trPr>
          <w:tblHeader w:val="false"/>
        </w:trPr>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Punto de reorden (s)</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Nivel de stock en el que se emite una orden de compra. Se calcula como: s = demanda_media × L + safety_stock.</w:t>
            </w:r>
          </w:p>
        </w:tc>
      </w:tr>
      <w:tr>
        <w:trPr>
          <w:tblHeader w:val="false"/>
        </w:trPr>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Stock de seguridad (SS)</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Buffer de inventario adicional para absorber variabilidad de demanda y/o lead time. SS = z × σ_d × √L, donde z depende del nivel de servicio objetivo.</w:t>
            </w:r>
          </w:p>
        </w:tc>
      </w:tr>
      <w:tr>
        <w:trPr>
          <w:tblHeader w:val="false"/>
        </w:trPr>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Costo de almacenamiento (h)</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Costo de mantener una unidad en stock por período. Incluye costo financiero del capital, espacio físico y riesgo de obsolescencia. Típicamente 20–30% del valor anual.</w:t>
            </w:r>
          </w:p>
        </w:tc>
      </w:tr>
      <w:tr>
        <w:trPr>
          <w:tblHeader w:val="false"/>
        </w:trPr>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Costo de pedido (K)</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Costo fijo por emitir una orden de compra, independiente del tamaño. Incluye gestión administrativa y logística de recepción.</w:t>
            </w:r>
          </w:p>
        </w:tc>
      </w:tr>
      <w:tr>
        <w:trPr>
          <w:tblHeader w:val="false"/>
        </w:trPr>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Costo de quiebre (p)</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Costo incurrido cuando la demanda supera el stock disponible. Puede modelarse como margen perdido, penalización contractual o costo de pedido urgente.</w:t>
            </w:r>
          </w:p>
        </w:tc>
      </w:tr>
      <w:tr>
        <w:trPr>
          <w:tblHeader w:val="false"/>
        </w:trPr>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Demanda durante el lead time</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Demanda esperada mientras el pedido está en tránsito: d̄ × L. Es el parámetro crítico para calcular el punto de reorden.</w:t>
            </w:r>
          </w:p>
        </w:tc>
      </w:tr>
    </w:tbl>
    <w:p>
      <w:pPr>
        <w:spacing w:after="60" w:before="60"/>
      </w:pPr>
      <w:r>
        <w:t xml:space="preserve"/>
      </w:r>
    </w:p>
    <w:p>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DDDDD" w:sz="1"/>
              <w:left w:val="single" w:color="DDDDDD" w:sz="1"/>
              <w:bottom w:val="single" w:color="DDDDDD" w:sz="1"/>
              <w:right w:val="single" w:color="DDDDDD" w:sz="1"/>
            </w:tcBorders>
            <w:shd w:fill="EBF3FB" w:val="clear"/>
            <w:tcMar>
              <w:top w:type="dxa" w:w="120"/>
              <w:left w:type="dxa" w:w="200"/>
              <w:bottom w:type="dxa" w:w="120"/>
              <w:right w:type="dxa" w:w="200"/>
            </w:tcMar>
          </w:tcPr>
          <w:p>
            <w:r>
              <w:rPr>
                <w:rFonts w:ascii="Arial" w:cs="Arial" w:eastAsia="Arial" w:hAnsi="Arial"/>
                <w:b/>
                <w:bCs/>
                <w:color w:val="0D47A1"/>
                <w:sz w:val="24"/>
                <w:szCs w:val="24"/>
              </w:rPr>
              <w:t xml:space="preserve">Modelo 1 — EOQ (Economic Order Quantity)</w:t>
            </w:r>
          </w:p>
        </w:tc>
      </w:tr>
    </w:tbl>
    <w:p>
      <w:pPr>
        <w:spacing w:after="60" w:before="60"/>
      </w:pPr>
      <w:r>
        <w:t xml:space="preserve"/>
      </w:r>
    </w:p>
    <w:p>
      <w:pPr>
        <w:pStyle w:val="Heading2"/>
        <w:spacing w:after="120" w:before="280"/>
      </w:pPr>
      <w:r>
        <w:rPr>
          <w:rFonts w:ascii="Arial" w:cs="Arial" w:eastAsia="Arial" w:hAnsi="Arial"/>
          <w:b/>
          <w:bCs/>
          <w:color w:val="2E5BA8"/>
          <w:sz w:val="26"/>
          <w:szCs w:val="26"/>
        </w:rPr>
        <w:t xml:space="preserve">4.3 Modelo EOQ — Economic Order Quantity</w:t>
      </w:r>
    </w:p>
    <w:p>
      <w:pPr>
        <w:spacing w:after="80" w:before="220"/>
      </w:pPr>
      <w:r>
        <w:rPr>
          <w:rFonts w:ascii="Arial" w:cs="Arial" w:eastAsia="Arial" w:hAnsi="Arial"/>
          <w:b/>
          <w:bCs/>
          <w:color w:val="1A1A2E"/>
          <w:sz w:val="24"/>
          <w:szCs w:val="24"/>
        </w:rPr>
        <w:t xml:space="preserve">4.3.1 Origen y fundamentos</w:t>
      </w:r>
    </w:p>
    <w:p>
      <w:pPr>
        <w:spacing w:after="80" w:before="80"/>
        <w:jc w:val="both"/>
      </w:pPr>
      <w:r>
        <w:rPr>
          <w:rFonts w:ascii="Arial" w:cs="Arial" w:eastAsia="Arial" w:hAnsi="Arial"/>
          <w:color w:val="333333"/>
          <w:sz w:val="22"/>
          <w:szCs w:val="22"/>
        </w:rPr>
        <w:t xml:space="preserve">El modelo EOQ fue desarrollado por Ford W. Harris en 1913 y es el modelo de inventario más estudiado en la literatura. Bajo supuestos simplificadores bien definidos, determina la cantidad óptima de pedido Q* que minimiza el costo total de inventario (suma de costos de almacenamiento y costos de pedido):</w:t>
      </w:r>
    </w:p>
    <w:p>
      <w:pPr>
        <w:spacing w:after="140" w:before="140"/>
        <w:jc w:val="center"/>
      </w:pPr>
      <w:r>
        <w:rPr>
          <w:rFonts w:ascii="Courier New" w:cs="Courier New" w:eastAsia="Courier New" w:hAnsi="Courier New"/>
          <w:b/>
          <w:bCs/>
          <w:color w:val="1A1A2E"/>
          <w:sz w:val="22"/>
          <w:szCs w:val="22"/>
        </w:rPr>
        <w:t xml:space="preserve">CT(Q) = (D/Q) × K + (Q/2) × h</w:t>
      </w:r>
    </w:p>
    <w:p>
      <w:pPr>
        <w:spacing w:after="80" w:before="80"/>
        <w:jc w:val="both"/>
      </w:pPr>
      <w:r>
        <w:rPr>
          <w:rFonts w:ascii="Arial" w:cs="Arial" w:eastAsia="Arial" w:hAnsi="Arial"/>
          <w:color w:val="333333"/>
          <w:sz w:val="22"/>
          <w:szCs w:val="22"/>
        </w:rPr>
        <w:t xml:space="preserve">donde </w:t>
      </w:r>
      <w:r>
        <w:rPr>
          <w:rFonts w:ascii="Arial" w:cs="Arial" w:eastAsia="Arial" w:hAnsi="Arial"/>
          <w:i/>
          <w:iCs/>
          <w:color w:val="333333"/>
          <w:sz w:val="22"/>
          <w:szCs w:val="22"/>
        </w:rPr>
        <w:t xml:space="preserve">D</w:t>
      </w:r>
      <w:r>
        <w:rPr>
          <w:rFonts w:ascii="Arial" w:cs="Arial" w:eastAsia="Arial" w:hAnsi="Arial"/>
          <w:color w:val="333333"/>
          <w:sz w:val="22"/>
          <w:szCs w:val="22"/>
        </w:rPr>
        <w:t xml:space="preserve"> es la demanda anual (unidades/año), </w:t>
      </w:r>
      <w:r>
        <w:rPr>
          <w:rFonts w:ascii="Arial" w:cs="Arial" w:eastAsia="Arial" w:hAnsi="Arial"/>
          <w:i/>
          <w:iCs/>
          <w:color w:val="333333"/>
          <w:sz w:val="22"/>
          <w:szCs w:val="22"/>
        </w:rPr>
        <w:t xml:space="preserve">Q</w:t>
      </w:r>
      <w:r>
        <w:rPr>
          <w:rFonts w:ascii="Arial" w:cs="Arial" w:eastAsia="Arial" w:hAnsi="Arial"/>
          <w:color w:val="333333"/>
          <w:sz w:val="22"/>
          <w:szCs w:val="22"/>
        </w:rPr>
        <w:t xml:space="preserve"> es la cantidad pedida (unidades/pedido), </w:t>
      </w:r>
      <w:r>
        <w:rPr>
          <w:rFonts w:ascii="Arial" w:cs="Arial" w:eastAsia="Arial" w:hAnsi="Arial"/>
          <w:i/>
          <w:iCs/>
          <w:color w:val="333333"/>
          <w:sz w:val="22"/>
          <w:szCs w:val="22"/>
        </w:rPr>
        <w:t xml:space="preserve">K</w:t>
      </w:r>
      <w:r>
        <w:rPr>
          <w:rFonts w:ascii="Arial" w:cs="Arial" w:eastAsia="Arial" w:hAnsi="Arial"/>
          <w:color w:val="333333"/>
          <w:sz w:val="22"/>
          <w:szCs w:val="22"/>
        </w:rPr>
        <w:t xml:space="preserve"> es el costo fijo por pedido (CLP/pedido) y </w:t>
      </w:r>
      <w:r>
        <w:rPr>
          <w:rFonts w:ascii="Arial" w:cs="Arial" w:eastAsia="Arial" w:hAnsi="Arial"/>
          <w:i/>
          <w:iCs/>
          <w:color w:val="333333"/>
          <w:sz w:val="22"/>
          <w:szCs w:val="22"/>
        </w:rPr>
        <w:t xml:space="preserve">h</w:t>
      </w:r>
      <w:r>
        <w:rPr>
          <w:rFonts w:ascii="Arial" w:cs="Arial" w:eastAsia="Arial" w:hAnsi="Arial"/>
          <w:color w:val="333333"/>
          <w:sz w:val="22"/>
          <w:szCs w:val="22"/>
        </w:rPr>
        <w:t xml:space="preserve"> es el costo de almacenamiento unitario anual (CLP/unidad/año).</w:t>
      </w:r>
    </w:p>
    <w:p>
      <w:pPr>
        <w:spacing w:after="60" w:before="60"/>
      </w:pPr>
      <w:r>
        <w:t xml:space="preserve"/>
      </w:r>
    </w:p>
    <w:p>
      <w:pPr>
        <w:spacing w:after="80" w:before="80"/>
        <w:jc w:val="both"/>
      </w:pPr>
      <w:r>
        <w:rPr>
          <w:rFonts w:ascii="Arial" w:cs="Arial" w:eastAsia="Arial" w:hAnsi="Arial"/>
          <w:color w:val="333333"/>
          <w:sz w:val="22"/>
          <w:szCs w:val="22"/>
        </w:rPr>
        <w:t xml:space="preserve">La cantidad óptima Q* se obtiene derivando CT(Q) con respecto a Q e igualando a cero:</w:t>
      </w:r>
    </w:p>
    <w:p>
      <w:pPr>
        <w:spacing w:after="140" w:before="140"/>
        <w:jc w:val="center"/>
      </w:pPr>
      <w:r>
        <w:rPr>
          <w:rFonts w:ascii="Courier New" w:cs="Courier New" w:eastAsia="Courier New" w:hAnsi="Courier New"/>
          <w:b/>
          <w:bCs/>
          <w:color w:val="1A1A2E"/>
          <w:sz w:val="22"/>
          <w:szCs w:val="22"/>
        </w:rPr>
        <w:t xml:space="preserve">Q* = √( 2 × D × K / h )</w:t>
      </w:r>
    </w:p>
    <w:p>
      <w:pPr>
        <w:spacing w:after="80" w:before="80"/>
        <w:jc w:val="both"/>
      </w:pPr>
      <w:r>
        <w:rPr>
          <w:rFonts w:ascii="Arial" w:cs="Arial" w:eastAsia="Arial" w:hAnsi="Arial"/>
          <w:color w:val="333333"/>
          <w:sz w:val="22"/>
          <w:szCs w:val="22"/>
        </w:rPr>
        <w:t xml:space="preserve">Este resultado indica que la cantidad óptima de pedido crece con la raíz cuadrada de la demanda y el costo de pedido, y decrece con el costo de almacenamiento.</w:t>
      </w:r>
    </w:p>
    <w:p>
      <w:pPr>
        <w:spacing w:after="60" w:before="60"/>
      </w:pPr>
      <w:r>
        <w:t xml:space="preserve"/>
      </w:r>
    </w:p>
    <w:p>
      <w:pPr>
        <w:spacing w:after="80" w:before="220"/>
      </w:pPr>
      <w:r>
        <w:rPr>
          <w:rFonts w:ascii="Arial" w:cs="Arial" w:eastAsia="Arial" w:hAnsi="Arial"/>
          <w:b/>
          <w:bCs/>
          <w:color w:val="1A1A2E"/>
          <w:sz w:val="24"/>
          <w:szCs w:val="24"/>
        </w:rPr>
        <w:t xml:space="preserve">4.3.2 Supuestos del modelo EOQ</w:t>
      </w:r>
    </w:p>
    <w:p>
      <w:pPr>
        <w:spacing w:after="80" w:before="80"/>
        <w:jc w:val="both"/>
      </w:pPr>
      <w:r>
        <w:rPr>
          <w:rFonts w:ascii="Arial" w:cs="Arial" w:eastAsia="Arial" w:hAnsi="Arial"/>
          <w:color w:val="333333"/>
          <w:sz w:val="22"/>
          <w:szCs w:val="22"/>
        </w:rPr>
        <w:t xml:space="preserve">El EOQ clásico se sustenta en los siguientes supuestos que, si bien simplifican la realidad, establecen un baseline de comparación claro:</w:t>
      </w:r>
    </w:p>
    <w:p>
      <w:pPr>
        <w:pStyle w:val="ListParagraph"/>
        <w:numPr>
          <w:ilvl w:val="0"/>
          <w:numId w:val="2"/>
        </w:numPr>
        <w:spacing w:after="60" w:before="60"/>
      </w:pPr>
      <w:r>
        <w:rPr>
          <w:rFonts w:ascii="Arial" w:cs="Arial" w:eastAsia="Arial" w:hAnsi="Arial"/>
          <w:b/>
          <w:bCs/>
          <w:color w:val="333333"/>
          <w:sz w:val="22"/>
          <w:szCs w:val="22"/>
        </w:rPr>
        <w:t xml:space="preserve">Demanda determinista y constante:</w:t>
      </w:r>
      <w:r>
        <w:rPr>
          <w:rFonts w:ascii="Arial" w:cs="Arial" w:eastAsia="Arial" w:hAnsi="Arial"/>
          <w:color w:val="333333"/>
          <w:sz w:val="22"/>
          <w:szCs w:val="22"/>
        </w:rPr>
        <w:t xml:space="preserve"> la tasa de demanda D es conocida, uniforme y no varía en el tiempo.</w:t>
      </w:r>
    </w:p>
    <w:p>
      <w:pPr>
        <w:pStyle w:val="ListParagraph"/>
        <w:numPr>
          <w:ilvl w:val="0"/>
          <w:numId w:val="2"/>
        </w:numPr>
        <w:spacing w:after="60" w:before="60"/>
      </w:pPr>
      <w:r>
        <w:rPr>
          <w:rFonts w:ascii="Arial" w:cs="Arial" w:eastAsia="Arial" w:hAnsi="Arial"/>
          <w:b/>
          <w:bCs/>
          <w:color w:val="333333"/>
          <w:sz w:val="22"/>
          <w:szCs w:val="22"/>
        </w:rPr>
        <w:t xml:space="preserve">Lead time constante y conocido:</w:t>
      </w:r>
      <w:r>
        <w:rPr>
          <w:rFonts w:ascii="Arial" w:cs="Arial" w:eastAsia="Arial" w:hAnsi="Arial"/>
          <w:color w:val="333333"/>
          <w:sz w:val="22"/>
          <w:szCs w:val="22"/>
        </w:rPr>
        <w:t xml:space="preserve"> el tiempo entre el pedido y la recepción es fijo y no tiene variabilidad.</w:t>
      </w:r>
    </w:p>
    <w:p>
      <w:pPr>
        <w:pStyle w:val="ListParagraph"/>
        <w:numPr>
          <w:ilvl w:val="0"/>
          <w:numId w:val="2"/>
        </w:numPr>
        <w:spacing w:after="60" w:before="60"/>
      </w:pPr>
      <w:r>
        <w:rPr>
          <w:rFonts w:ascii="Arial" w:cs="Arial" w:eastAsia="Arial" w:hAnsi="Arial"/>
          <w:b/>
          <w:bCs/>
          <w:color w:val="333333"/>
          <w:sz w:val="22"/>
          <w:szCs w:val="22"/>
        </w:rPr>
        <w:t xml:space="preserve">Sin restricciones de capacidad:</w:t>
      </w:r>
      <w:r>
        <w:rPr>
          <w:rFonts w:ascii="Arial" w:cs="Arial" w:eastAsia="Arial" w:hAnsi="Arial"/>
          <w:color w:val="333333"/>
          <w:sz w:val="22"/>
          <w:szCs w:val="22"/>
        </w:rPr>
        <w:t xml:space="preserve"> no hay límite de espacio de almacenamiento ni mínimo de compra del proveedor.</w:t>
      </w:r>
    </w:p>
    <w:p>
      <w:pPr>
        <w:pStyle w:val="ListParagraph"/>
        <w:numPr>
          <w:ilvl w:val="0"/>
          <w:numId w:val="2"/>
        </w:numPr>
        <w:spacing w:after="60" w:before="60"/>
      </w:pPr>
      <w:r>
        <w:rPr>
          <w:rFonts w:ascii="Arial" w:cs="Arial" w:eastAsia="Arial" w:hAnsi="Arial"/>
          <w:b/>
          <w:bCs/>
          <w:color w:val="333333"/>
          <w:sz w:val="22"/>
          <w:szCs w:val="22"/>
        </w:rPr>
        <w:t xml:space="preserve">Sin descuentos por volumen:</w:t>
      </w:r>
      <w:r>
        <w:rPr>
          <w:rFonts w:ascii="Arial" w:cs="Arial" w:eastAsia="Arial" w:hAnsi="Arial"/>
          <w:color w:val="333333"/>
          <w:sz w:val="22"/>
          <w:szCs w:val="22"/>
        </w:rPr>
        <w:t xml:space="preserve"> el precio unitario no depende de la cantidad ordenada.</w:t>
      </w:r>
    </w:p>
    <w:p>
      <w:pPr>
        <w:pStyle w:val="ListParagraph"/>
        <w:numPr>
          <w:ilvl w:val="0"/>
          <w:numId w:val="2"/>
        </w:numPr>
        <w:spacing w:after="60" w:before="60"/>
      </w:pPr>
      <w:r>
        <w:rPr>
          <w:rFonts w:ascii="Arial" w:cs="Arial" w:eastAsia="Arial" w:hAnsi="Arial"/>
          <w:b/>
          <w:bCs/>
          <w:color w:val="333333"/>
          <w:sz w:val="22"/>
          <w:szCs w:val="22"/>
        </w:rPr>
        <w:t xml:space="preserve">Reposición instantánea:</w:t>
      </w:r>
      <w:r>
        <w:rPr>
          <w:rFonts w:ascii="Arial" w:cs="Arial" w:eastAsia="Arial" w:hAnsi="Arial"/>
          <w:color w:val="333333"/>
          <w:sz w:val="22"/>
          <w:szCs w:val="22"/>
        </w:rPr>
        <w:t xml:space="preserve"> cuando el stock llega a cero, el pedido se recibe inmediatamente (o el punto de reorden compensa el lead time).</w:t>
      </w:r>
    </w:p>
    <w:p>
      <w:pPr>
        <w:spacing w:after="60" w:before="60"/>
      </w:pPr>
      <w:r>
        <w:t xml:space="preserve"/>
      </w:r>
    </w:p>
    <w:p>
      <w:pPr>
        <w:spacing w:after="80" w:before="220"/>
      </w:pPr>
      <w:r>
        <w:rPr>
          <w:rFonts w:ascii="Arial" w:cs="Arial" w:eastAsia="Arial" w:hAnsi="Arial"/>
          <w:b/>
          <w:bCs/>
          <w:color w:val="1A1A2E"/>
          <w:sz w:val="24"/>
          <w:szCs w:val="24"/>
        </w:rPr>
        <w:t xml:space="preserve">4.3.3 Punto de reorden en EOQ</w:t>
      </w:r>
    </w:p>
    <w:p>
      <w:pPr>
        <w:spacing w:after="80" w:before="80"/>
        <w:jc w:val="both"/>
      </w:pPr>
      <w:r>
        <w:rPr>
          <w:rFonts w:ascii="Arial" w:cs="Arial" w:eastAsia="Arial" w:hAnsi="Arial"/>
          <w:color w:val="333333"/>
          <w:sz w:val="22"/>
          <w:szCs w:val="22"/>
        </w:rPr>
        <w:t xml:space="preserve">En la práctica, el pedido debe emitirse antes de que el stock llegue a cero, para cubrir la demanda durante el lead time. El punto de reorden clásico del EOQ es:</w:t>
      </w:r>
    </w:p>
    <w:p>
      <w:pPr>
        <w:spacing w:after="140" w:before="140"/>
        <w:jc w:val="center"/>
      </w:pPr>
      <w:r>
        <w:rPr>
          <w:rFonts w:ascii="Courier New" w:cs="Courier New" w:eastAsia="Courier New" w:hAnsi="Courier New"/>
          <w:b/>
          <w:bCs/>
          <w:color w:val="1A1A2E"/>
          <w:sz w:val="22"/>
          <w:szCs w:val="22"/>
        </w:rPr>
        <w:t xml:space="preserve">s_EOQ = d̄ × L</w:t>
      </w:r>
    </w:p>
    <w:p>
      <w:pPr>
        <w:spacing w:after="80" w:before="80"/>
        <w:jc w:val="both"/>
      </w:pPr>
      <w:r>
        <w:rPr>
          <w:rFonts w:ascii="Arial" w:cs="Arial" w:eastAsia="Arial" w:hAnsi="Arial"/>
          <w:color w:val="333333"/>
          <w:sz w:val="22"/>
          <w:szCs w:val="22"/>
        </w:rPr>
        <w:t xml:space="preserve">donde </w:t>
      </w:r>
      <w:r>
        <w:rPr>
          <w:rFonts w:ascii="Arial" w:cs="Arial" w:eastAsia="Arial" w:hAnsi="Arial"/>
          <w:i/>
          <w:iCs/>
          <w:color w:val="333333"/>
          <w:sz w:val="22"/>
          <w:szCs w:val="22"/>
        </w:rPr>
        <w:t xml:space="preserve">d̄</w:t>
      </w:r>
      <w:r>
        <w:rPr>
          <w:rFonts w:ascii="Arial" w:cs="Arial" w:eastAsia="Arial" w:hAnsi="Arial"/>
          <w:color w:val="333333"/>
          <w:sz w:val="22"/>
          <w:szCs w:val="22"/>
        </w:rPr>
        <w:t xml:space="preserve"> es la demanda promedio diaria y </w:t>
      </w:r>
      <w:r>
        <w:rPr>
          <w:rFonts w:ascii="Arial" w:cs="Arial" w:eastAsia="Arial" w:hAnsi="Arial"/>
          <w:i/>
          <w:iCs/>
          <w:color w:val="333333"/>
          <w:sz w:val="22"/>
          <w:szCs w:val="22"/>
        </w:rPr>
        <w:t xml:space="preserve">L</w:t>
      </w:r>
      <w:r>
        <w:rPr>
          <w:rFonts w:ascii="Arial" w:cs="Arial" w:eastAsia="Arial" w:hAnsi="Arial"/>
          <w:color w:val="333333"/>
          <w:sz w:val="22"/>
          <w:szCs w:val="22"/>
        </w:rPr>
        <w:t xml:space="preserve"> el lead time en días. Si se desea incorporar protección ante variabilidad, se agrega safety stock:</w:t>
      </w:r>
    </w:p>
    <w:p>
      <w:pPr>
        <w:spacing w:after="140" w:before="140"/>
        <w:jc w:val="center"/>
      </w:pPr>
      <w:r>
        <w:rPr>
          <w:rFonts w:ascii="Courier New" w:cs="Courier New" w:eastAsia="Courier New" w:hAnsi="Courier New"/>
          <w:b/>
          <w:bCs/>
          <w:color w:val="1A1A2E"/>
          <w:sz w:val="22"/>
          <w:szCs w:val="22"/>
        </w:rPr>
        <w:t xml:space="preserve">s_EOQ = d̄ × L + z × σ_d × √L</w:t>
      </w:r>
    </w:p>
    <w:p>
      <w:pPr>
        <w:spacing w:after="80" w:before="80"/>
        <w:jc w:val="both"/>
      </w:pPr>
      <w:r>
        <w:rPr>
          <w:rFonts w:ascii="Arial" w:cs="Arial" w:eastAsia="Arial" w:hAnsi="Arial"/>
          <w:color w:val="333333"/>
          <w:sz w:val="22"/>
          <w:szCs w:val="22"/>
        </w:rPr>
        <w:t xml:space="preserve">donde </w:t>
      </w:r>
      <w:r>
        <w:rPr>
          <w:rFonts w:ascii="Arial" w:cs="Arial" w:eastAsia="Arial" w:hAnsi="Arial"/>
          <w:i/>
          <w:iCs/>
          <w:color w:val="333333"/>
          <w:sz w:val="22"/>
          <w:szCs w:val="22"/>
        </w:rPr>
        <w:t xml:space="preserve">z</w:t>
      </w:r>
      <w:r>
        <w:rPr>
          <w:rFonts w:ascii="Arial" w:cs="Arial" w:eastAsia="Arial" w:hAnsi="Arial"/>
          <w:color w:val="333333"/>
          <w:sz w:val="22"/>
          <w:szCs w:val="22"/>
        </w:rPr>
        <w:t xml:space="preserve"> es el factor de la distribución normal correspondiente al nivel de servicio objetivo (z = 1.65 para NS = 95%; z = 1.96 para NS = 97.5%) y </w:t>
      </w:r>
      <w:r>
        <w:rPr>
          <w:rFonts w:ascii="Arial" w:cs="Arial" w:eastAsia="Arial" w:hAnsi="Arial"/>
          <w:i/>
          <w:iCs/>
          <w:color w:val="333333"/>
          <w:sz w:val="22"/>
          <w:szCs w:val="22"/>
        </w:rPr>
        <w:t xml:space="preserve">σ_d</w:t>
      </w:r>
      <w:r>
        <w:rPr>
          <w:rFonts w:ascii="Arial" w:cs="Arial" w:eastAsia="Arial" w:hAnsi="Arial"/>
          <w:color w:val="333333"/>
          <w:sz w:val="22"/>
          <w:szCs w:val="22"/>
        </w:rPr>
        <w:t xml:space="preserve"> es la desviación estándar de la demanda diaria.</w:t>
      </w:r>
    </w:p>
    <w:p>
      <w:pPr>
        <w:spacing w:after="60" w:before="60"/>
      </w:pPr>
      <w:r>
        <w:t xml:space="preserve"/>
      </w:r>
    </w:p>
    <w:p>
      <w:pPr>
        <w:spacing w:after="80" w:before="220"/>
      </w:pPr>
      <w:r>
        <w:rPr>
          <w:rFonts w:ascii="Arial" w:cs="Arial" w:eastAsia="Arial" w:hAnsi="Arial"/>
          <w:b/>
          <w:bCs/>
          <w:color w:val="1A1A2E"/>
          <w:sz w:val="24"/>
          <w:szCs w:val="24"/>
        </w:rPr>
        <w:t xml:space="preserve">4.3.4 Limitaciones del EOQ en el contexto de esta tesis</w:t>
      </w:r>
    </w:p>
    <w:p>
      <w:pPr>
        <w:spacing w:after="80" w:before="80"/>
        <w:jc w:val="both"/>
      </w:pPr>
      <w:r>
        <w:rPr>
          <w:rFonts w:ascii="Arial" w:cs="Arial" w:eastAsia="Arial" w:hAnsi="Arial"/>
          <w:color w:val="333333"/>
          <w:sz w:val="22"/>
          <w:szCs w:val="22"/>
        </w:rPr>
        <w:t xml:space="preserve">El EOQ opera con demanda promedio histórica, lo que lo convierte en un modelo estático e incapaz de adaptarse a la variabilidad real de la demanda. En distribuidoras con demanda estacional, efectos de feriados o tendencias cambiantes, el EOQ genera sistemáticamente sobrestock en períodos de demanda baja y quiebres en períodos de demanda alta. Esta limitación es precisamente la motivación para compararlo con la política (s,S) dinámica alimentada por el módulo de forecasting.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Fortaleza EOQ</w:t>
            </w:r>
          </w:p>
        </w:tc>
        <w:tc>
          <w:tcPr>
            <w:tcW w:type="dxa" w:w="6026"/>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pPr>
              <w:jc w:val="both"/>
            </w:pPr>
            <w:r>
              <w:rPr>
                <w:rFonts w:ascii="Arial" w:cs="Arial" w:eastAsia="Arial" w:hAnsi="Arial"/>
                <w:b/>
                <w:bCs/>
                <w:color w:val="FFFFFF"/>
                <w:sz w:val="20"/>
                <w:szCs w:val="20"/>
              </w:rPr>
              <w:t xml:space="preserve">Limitación EOQ</w:t>
            </w:r>
          </w:p>
        </w:tc>
      </w:tr>
      <w:tr>
        <w:trPr>
          <w:tblHeader w:val="false"/>
        </w:trPr>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Solución analítica cerrada — rápido de calcular para miles de SKUs</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Asume demanda constante — falla ante estacionalidad y tendencias</w:t>
            </w:r>
          </w:p>
        </w:tc>
      </w:tr>
      <w:tr>
        <w:trPr>
          <w:tblHeader w:val="false"/>
        </w:trPr>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Fácil de interpretar y justificar ante gerencia no técnica</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No se adapta a cambios en el patrón de demanda sin recalibración manual</w:t>
            </w:r>
          </w:p>
        </w:tc>
      </w:tr>
      <w:tr>
        <w:trPr>
          <w:tblHeader w:val="false"/>
        </w:trPr>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Baseline estándar en literatura — facilita comparación experimental</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Puede generar exceso de stock en períodos de baja demanda</w:t>
            </w:r>
          </w:p>
        </w:tc>
      </w:tr>
      <w:tr>
        <w:trPr>
          <w:tblHeader w:val="false"/>
        </w:trPr>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Minimiza costos bajo sus supuestos — óptimo en condiciones ideales</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Requiere estimación de h y K que no siempre están disponibles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DDDDD" w:sz="1"/>
              <w:left w:val="single" w:color="DDDDDD" w:sz="1"/>
              <w:bottom w:val="single" w:color="DDDDDD" w:sz="1"/>
              <w:right w:val="single" w:color="DDDDDD" w:sz="1"/>
            </w:tcBorders>
            <w:shd w:fill="FAEEDA" w:val="clear"/>
            <w:tcMar>
              <w:top w:type="dxa" w:w="120"/>
              <w:left w:type="dxa" w:w="200"/>
              <w:bottom w:type="dxa" w:w="120"/>
              <w:right w:type="dxa" w:w="200"/>
            </w:tcMar>
          </w:tcPr>
          <w:p>
            <w:r>
              <w:rPr>
                <w:rFonts w:ascii="Arial" w:cs="Arial" w:eastAsia="Arial" w:hAnsi="Arial"/>
                <w:b/>
                <w:bCs/>
                <w:color w:val="633806"/>
                <w:sz w:val="24"/>
                <w:szCs w:val="24"/>
              </w:rPr>
              <w:t xml:space="preserve">Modelo 2 — Política (s,S) dinámica</w:t>
            </w:r>
          </w:p>
        </w:tc>
      </w:tr>
    </w:tbl>
    <w:p>
      <w:pPr>
        <w:spacing w:after="60" w:before="60"/>
      </w:pPr>
      <w:r>
        <w:t xml:space="preserve"/>
      </w:r>
    </w:p>
    <w:p>
      <w:pPr>
        <w:pStyle w:val="Heading2"/>
        <w:spacing w:after="120" w:before="280"/>
      </w:pPr>
      <w:r>
        <w:rPr>
          <w:rFonts w:ascii="Arial" w:cs="Arial" w:eastAsia="Arial" w:hAnsi="Arial"/>
          <w:b/>
          <w:bCs/>
          <w:color w:val="2E5BA8"/>
          <w:sz w:val="26"/>
          <w:szCs w:val="26"/>
        </w:rPr>
        <w:t xml:space="preserve">4.4 Política de inventario (s,S)</w:t>
      </w:r>
    </w:p>
    <w:p>
      <w:pPr>
        <w:spacing w:after="80" w:before="220"/>
      </w:pPr>
      <w:r>
        <w:rPr>
          <w:rFonts w:ascii="Arial" w:cs="Arial" w:eastAsia="Arial" w:hAnsi="Arial"/>
          <w:b/>
          <w:bCs/>
          <w:color w:val="1A1A2E"/>
          <w:sz w:val="24"/>
          <w:szCs w:val="24"/>
        </w:rPr>
        <w:t xml:space="preserve">4.4.1 Fundamentos y definición formal</w:t>
      </w:r>
    </w:p>
    <w:p>
      <w:pPr>
        <w:spacing w:after="80" w:before="80"/>
        <w:jc w:val="both"/>
      </w:pPr>
      <w:r>
        <w:rPr>
          <w:rFonts w:ascii="Arial" w:cs="Arial" w:eastAsia="Arial" w:hAnsi="Arial"/>
          <w:color w:val="333333"/>
          <w:sz w:val="22"/>
          <w:szCs w:val="22"/>
        </w:rPr>
        <w:t xml:space="preserve">La política (s,S) —pronunciada «s minúscula, S mayúscula»— es un modelo de inventario de revisión continua que supera las limitaciones del EOQ al trabajar explícitamente con demanda variable y estocástica. Fue formalizada por Scarf (1960) y Arrow, Harris &amp; Marschak (1951), y es considerada la política óptima bajo condiciones generales de costo fijo de pedido y demanda estocástica (Perera et al., 2025).</w:t>
      </w:r>
    </w:p>
    <w:p>
      <w:pPr>
        <w:spacing w:after="60" w:before="60"/>
      </w:pPr>
      <w:r>
        <w:t xml:space="preserve"/>
      </w:r>
    </w:p>
    <w:p>
      <w:pPr>
        <w:spacing w:after="80" w:before="80"/>
        <w:jc w:val="both"/>
      </w:pPr>
      <w:r>
        <w:rPr>
          <w:rFonts w:ascii="Arial" w:cs="Arial" w:eastAsia="Arial" w:hAnsi="Arial"/>
          <w:color w:val="333333"/>
          <w:sz w:val="22"/>
          <w:szCs w:val="22"/>
        </w:rPr>
        <w:t xml:space="preserve">La política (s,S) define dos parámetros de decisión: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DDDDD" w:sz="1"/>
              <w:left w:val="single" w:color="DDDDDD" w:sz="1"/>
              <w:bottom w:val="single" w:color="DDDDDD" w:sz="1"/>
              <w:right w:val="single" w:color="DDDDDD" w:sz="1"/>
            </w:tcBorders>
            <w:shd w:fill="FAEEDA" w:val="clear"/>
            <w:tcMar>
              <w:top w:type="dxa" w:w="130"/>
              <w:left w:type="dxa" w:w="200"/>
              <w:bottom w:type="dxa" w:w="130"/>
              <w:right w:type="dxa" w:w="200"/>
            </w:tcMar>
          </w:tcPr>
          <w:p>
            <w:pPr>
              <w:spacing w:after="60" w:before="0"/>
            </w:pPr>
            <w:r>
              <w:rPr>
                <w:rFonts w:ascii="Arial" w:cs="Arial" w:eastAsia="Arial" w:hAnsi="Arial"/>
                <w:b/>
                <w:bCs/>
                <w:color w:val="633806"/>
                <w:sz w:val="20"/>
                <w:szCs w:val="20"/>
              </w:rPr>
              <w:t xml:space="preserve">Definición formal de la política (s,S)</w:t>
            </w:r>
          </w:p>
          <w:p>
            <w:pPr>
              <w:jc w:val="both"/>
            </w:pPr>
            <w:r>
              <w:rPr>
                <w:rFonts w:ascii="Arial" w:cs="Arial" w:eastAsia="Arial" w:hAnsi="Arial"/>
                <w:color w:val="1A1A2E"/>
                <w:sz w:val="21"/>
                <w:szCs w:val="21"/>
              </w:rPr>
              <w:t xml:space="preserve">Si el nivel de inventario cae por debajo del umbral s (punto de reorden), se emite una orden de compra que repone el stock hasta el nivel S (nivel de reposición objetivo). Si el stock es mayor que s, no se ordena.
Formalmente: si q_t &lt; s → ordenar (S − q_t) unidades; si q_t ≥ s → no ordenar.</w:t>
            </w:r>
          </w:p>
        </w:tc>
      </w:tr>
    </w:tbl>
    <w:p>
      <w:pPr>
        <w:spacing w:after="60" w:before="60"/>
      </w:pPr>
      <w:r>
        <w:t xml:space="preserve"/>
      </w:r>
    </w:p>
    <w:p>
      <w:pPr>
        <w:spacing w:after="80" w:before="220"/>
      </w:pPr>
      <w:r>
        <w:rPr>
          <w:rFonts w:ascii="Arial" w:cs="Arial" w:eastAsia="Arial" w:hAnsi="Arial"/>
          <w:b/>
          <w:bCs/>
          <w:color w:val="1A1A2E"/>
          <w:sz w:val="24"/>
          <w:szCs w:val="24"/>
        </w:rPr>
        <w:t xml:space="preserve">4.4.2 Cálculo de los parámetros s y S</w:t>
      </w:r>
    </w:p>
    <w:p>
      <w:pPr>
        <w:spacing w:after="60" w:before="160"/>
      </w:pPr>
      <w:r>
        <w:rPr>
          <w:rFonts w:ascii="Arial" w:cs="Arial" w:eastAsia="Arial" w:hAnsi="Arial"/>
          <w:b/>
          <w:bCs/>
          <w:i/>
          <w:iCs/>
          <w:color w:val="2E5BA8"/>
          <w:sz w:val="22"/>
          <w:szCs w:val="22"/>
        </w:rPr>
        <w:t xml:space="preserve">Umbral de reorden s</w:t>
      </w:r>
    </w:p>
    <w:p>
      <w:pPr>
        <w:spacing w:after="80" w:before="80"/>
        <w:jc w:val="both"/>
      </w:pPr>
      <w:r>
        <w:rPr>
          <w:rFonts w:ascii="Arial" w:cs="Arial" w:eastAsia="Arial" w:hAnsi="Arial"/>
          <w:color w:val="333333"/>
          <w:sz w:val="22"/>
          <w:szCs w:val="22"/>
        </w:rPr>
        <w:t xml:space="preserve">El parámetro s representa el nivel de inventario en el que se activa la orden. En la política dinámica implementada en esta tesis, s se calcula usando la demanda pronosticada por el módulo de forecasting (en lugar de la demanda histórica promedio del EOQ):</w:t>
      </w:r>
    </w:p>
    <w:p>
      <w:pPr>
        <w:spacing w:after="140" w:before="140"/>
        <w:jc w:val="center"/>
      </w:pPr>
      <w:r>
        <w:rPr>
          <w:rFonts w:ascii="Courier New" w:cs="Courier New" w:eastAsia="Courier New" w:hAnsi="Courier New"/>
          <w:b/>
          <w:bCs/>
          <w:color w:val="1A1A2E"/>
          <w:sz w:val="22"/>
          <w:szCs w:val="22"/>
        </w:rPr>
        <w:t xml:space="preserve">s = ŷ_{t,L} + z × σ̂_{t,L}</w:t>
      </w:r>
    </w:p>
    <w:p>
      <w:pPr>
        <w:spacing w:after="80" w:before="80"/>
        <w:jc w:val="both"/>
      </w:pPr>
      <w:r>
        <w:rPr>
          <w:rFonts w:ascii="Arial" w:cs="Arial" w:eastAsia="Arial" w:hAnsi="Arial"/>
          <w:color w:val="333333"/>
          <w:sz w:val="22"/>
          <w:szCs w:val="22"/>
        </w:rPr>
        <w:t xml:space="preserve">donde </w:t>
      </w:r>
      <w:r>
        <w:rPr>
          <w:rFonts w:ascii="Arial" w:cs="Arial" w:eastAsia="Arial" w:hAnsi="Arial"/>
          <w:i/>
          <w:iCs/>
          <w:color w:val="333333"/>
          <w:sz w:val="22"/>
          <w:szCs w:val="22"/>
        </w:rPr>
        <w:t xml:space="preserve">ŷ_{t,L}</w:t>
      </w:r>
      <w:r>
        <w:rPr>
          <w:rFonts w:ascii="Arial" w:cs="Arial" w:eastAsia="Arial" w:hAnsi="Arial"/>
          <w:color w:val="333333"/>
          <w:sz w:val="22"/>
          <w:szCs w:val="22"/>
        </w:rPr>
        <w:t xml:space="preserve"> es la demanda pronosticada durante el lead time </w:t>
      </w:r>
      <w:r>
        <w:rPr>
          <w:rFonts w:ascii="Arial" w:cs="Arial" w:eastAsia="Arial" w:hAnsi="Arial"/>
          <w:i/>
          <w:iCs/>
          <w:color w:val="333333"/>
          <w:sz w:val="22"/>
          <w:szCs w:val="22"/>
        </w:rPr>
        <w:t xml:space="preserve">L</w:t>
      </w:r>
      <w:r>
        <w:rPr>
          <w:rFonts w:ascii="Arial" w:cs="Arial" w:eastAsia="Arial" w:hAnsi="Arial"/>
          <w:color w:val="333333"/>
          <w:sz w:val="22"/>
          <w:szCs w:val="22"/>
        </w:rPr>
        <w:t xml:space="preserve"> a partir del período actual </w:t>
      </w:r>
      <w:r>
        <w:rPr>
          <w:rFonts w:ascii="Arial" w:cs="Arial" w:eastAsia="Arial" w:hAnsi="Arial"/>
          <w:i/>
          <w:iCs/>
          <w:color w:val="333333"/>
          <w:sz w:val="22"/>
          <w:szCs w:val="22"/>
        </w:rPr>
        <w:t xml:space="preserve">t</w:t>
      </w:r>
      <w:r>
        <w:rPr>
          <w:rFonts w:ascii="Arial" w:cs="Arial" w:eastAsia="Arial" w:hAnsi="Arial"/>
          <w:color w:val="333333"/>
          <w:sz w:val="22"/>
          <w:szCs w:val="22"/>
        </w:rPr>
        <w:t xml:space="preserve"> (suma de las predicciones diarias del módulo de forecasting para los </w:t>
      </w:r>
      <w:r>
        <w:rPr>
          <w:rFonts w:ascii="Arial" w:cs="Arial" w:eastAsia="Arial" w:hAnsi="Arial"/>
          <w:i/>
          <w:iCs/>
          <w:color w:val="333333"/>
          <w:sz w:val="22"/>
          <w:szCs w:val="22"/>
        </w:rPr>
        <w:t xml:space="preserve">L</w:t>
      </w:r>
      <w:r>
        <w:rPr>
          <w:rFonts w:ascii="Arial" w:cs="Arial" w:eastAsia="Arial" w:hAnsi="Arial"/>
          <w:color w:val="333333"/>
          <w:sz w:val="22"/>
          <w:szCs w:val="22"/>
        </w:rPr>
        <w:t xml:space="preserve"> días siguientes), y </w:t>
      </w:r>
      <w:r>
        <w:rPr>
          <w:rFonts w:ascii="Arial" w:cs="Arial" w:eastAsia="Arial" w:hAnsi="Arial"/>
          <w:i/>
          <w:iCs/>
          <w:color w:val="333333"/>
          <w:sz w:val="22"/>
          <w:szCs w:val="22"/>
        </w:rPr>
        <w:t xml:space="preserve">σ̂_{t,L}</w:t>
      </w:r>
      <w:r>
        <w:rPr>
          <w:rFonts w:ascii="Arial" w:cs="Arial" w:eastAsia="Arial" w:hAnsi="Arial"/>
          <w:color w:val="333333"/>
          <w:sz w:val="22"/>
          <w:szCs w:val="22"/>
        </w:rPr>
        <w:t xml:space="preserve"> es la desviación estándar de la predicción durante el lead time (medida de incertidumbre del pronóstico).</w:t>
      </w:r>
    </w:p>
    <w:p>
      <w:pPr>
        <w:spacing w:after="60" w:before="60"/>
      </w:pPr>
      <w:r>
        <w:t xml:space="preserve"/>
      </w:r>
    </w:p>
    <w:p>
      <w:pPr>
        <w:spacing w:after="60" w:before="160"/>
      </w:pPr>
      <w:r>
        <w:rPr>
          <w:rFonts w:ascii="Arial" w:cs="Arial" w:eastAsia="Arial" w:hAnsi="Arial"/>
          <w:b/>
          <w:bCs/>
          <w:i/>
          <w:iCs/>
          <w:color w:val="2E5BA8"/>
          <w:sz w:val="22"/>
          <w:szCs w:val="22"/>
        </w:rPr>
        <w:t xml:space="preserve">Nivel de reposición S</w:t>
      </w:r>
    </w:p>
    <w:p>
      <w:pPr>
        <w:spacing w:after="80" w:before="80"/>
        <w:jc w:val="both"/>
      </w:pPr>
      <w:r>
        <w:rPr>
          <w:rFonts w:ascii="Arial" w:cs="Arial" w:eastAsia="Arial" w:hAnsi="Arial"/>
          <w:color w:val="333333"/>
          <w:sz w:val="22"/>
          <w:szCs w:val="22"/>
        </w:rPr>
        <w:t xml:space="preserve">El parámetro S define hasta qué nivel se repone el inventario. Se calcula como el punto de reorden más la cantidad óptima de pedido:</w:t>
      </w:r>
    </w:p>
    <w:p>
      <w:pPr>
        <w:spacing w:after="140" w:before="140"/>
        <w:jc w:val="center"/>
      </w:pPr>
      <w:r>
        <w:rPr>
          <w:rFonts w:ascii="Courier New" w:cs="Courier New" w:eastAsia="Courier New" w:hAnsi="Courier New"/>
          <w:b/>
          <w:bCs/>
          <w:color w:val="1A1A2E"/>
          <w:sz w:val="22"/>
          <w:szCs w:val="22"/>
        </w:rPr>
        <w:t xml:space="preserve">S = s + Q*</w:t>
      </w:r>
    </w:p>
    <w:p>
      <w:pPr>
        <w:spacing w:after="80" w:before="80"/>
        <w:jc w:val="both"/>
      </w:pPr>
      <w:r>
        <w:rPr>
          <w:rFonts w:ascii="Arial" w:cs="Arial" w:eastAsia="Arial" w:hAnsi="Arial"/>
          <w:color w:val="333333"/>
          <w:sz w:val="22"/>
          <w:szCs w:val="22"/>
        </w:rPr>
        <w:t xml:space="preserve">donde </w:t>
      </w:r>
      <w:r>
        <w:rPr>
          <w:rFonts w:ascii="Arial" w:cs="Arial" w:eastAsia="Arial" w:hAnsi="Arial"/>
          <w:i/>
          <w:iCs/>
          <w:color w:val="333333"/>
          <w:sz w:val="22"/>
          <w:szCs w:val="22"/>
        </w:rPr>
        <w:t xml:space="preserve">Q*</w:t>
      </w:r>
      <w:r>
        <w:rPr>
          <w:rFonts w:ascii="Arial" w:cs="Arial" w:eastAsia="Arial" w:hAnsi="Arial"/>
          <w:color w:val="333333"/>
          <w:sz w:val="22"/>
          <w:szCs w:val="22"/>
        </w:rPr>
        <w:t xml:space="preserve"> es la cantidad óptima derivada del EOQ u otra lógica de optimización de lote. En la implementación de esta tesis, </w:t>
      </w:r>
      <w:r>
        <w:rPr>
          <w:rFonts w:ascii="Arial" w:cs="Arial" w:eastAsia="Arial" w:hAnsi="Arial"/>
          <w:i/>
          <w:iCs/>
          <w:color w:val="333333"/>
          <w:sz w:val="22"/>
          <w:szCs w:val="22"/>
        </w:rPr>
        <w:t xml:space="preserve">Q*</w:t>
      </w:r>
      <w:r>
        <w:rPr>
          <w:rFonts w:ascii="Arial" w:cs="Arial" w:eastAsia="Arial" w:hAnsi="Arial"/>
          <w:color w:val="333333"/>
          <w:sz w:val="22"/>
          <w:szCs w:val="22"/>
        </w:rPr>
        <w:t xml:space="preserve"> puede estar sujeto a restricciones reales del proveedor: mínimo de compra (MOQ), múltiplo de unidad de compra (pack size) y capacidad máxima de almacenamiento.</w:t>
      </w:r>
    </w:p>
    <w:p>
      <w:pPr>
        <w:spacing w:after="60" w:before="60"/>
      </w:pPr>
      <w:r>
        <w:t xml:space="preserve"/>
      </w:r>
    </w:p>
    <w:p>
      <w:pPr>
        <w:spacing w:after="80" w:before="220"/>
      </w:pPr>
      <w:r>
        <w:rPr>
          <w:rFonts w:ascii="Arial" w:cs="Arial" w:eastAsia="Arial" w:hAnsi="Arial"/>
          <w:b/>
          <w:bCs/>
          <w:color w:val="1A1A2E"/>
          <w:sz w:val="24"/>
          <w:szCs w:val="24"/>
        </w:rPr>
        <w:t xml:space="preserve">4.4.3 Integración con el módulo de forecasting</w:t>
      </w:r>
    </w:p>
    <w:p>
      <w:pPr>
        <w:spacing w:after="80" w:before="80"/>
        <w:jc w:val="both"/>
      </w:pPr>
      <w:r>
        <w:rPr>
          <w:rFonts w:ascii="Arial" w:cs="Arial" w:eastAsia="Arial" w:hAnsi="Arial"/>
          <w:color w:val="333333"/>
          <w:sz w:val="22"/>
          <w:szCs w:val="22"/>
        </w:rPr>
        <w:t xml:space="preserve">La ventaja diferencial de la política (s,S) implementada en esta tesis respecto al EOQ radica en que sus parámetros se recalculan dinámicamente con cada nuevo pronóstico del módulo de forecasting:</w:t>
      </w:r>
    </w:p>
    <w:p>
      <w:pPr>
        <w:spacing w:after="60" w:before="60"/>
      </w:pPr>
      <w:r>
        <w:t xml:space="preserve"/>
      </w:r>
    </w:p>
    <w:p>
      <w:pPr>
        <w:pStyle w:val="ListParagraph"/>
        <w:numPr>
          <w:ilvl w:val="0"/>
          <w:numId w:val="3"/>
        </w:numPr>
        <w:spacing w:after="60" w:before="60"/>
      </w:pPr>
      <w:r>
        <w:rPr>
          <w:rFonts w:ascii="Arial" w:cs="Arial" w:eastAsia="Arial" w:hAnsi="Arial"/>
          <w:b/>
          <w:bCs/>
          <w:color w:val="333333"/>
          <w:sz w:val="22"/>
          <w:szCs w:val="22"/>
        </w:rPr>
        <w:t xml:space="preserve">Ciclo diario: </w:t>
      </w:r>
      <w:r>
        <w:rPr>
          <w:rFonts w:ascii="Arial" w:cs="Arial" w:eastAsia="Arial" w:hAnsi="Arial"/>
          <w:color w:val="333333"/>
          <w:sz w:val="22"/>
          <w:szCs w:val="22"/>
        </w:rPr>
        <w:t xml:space="preserve">el módulo de forecasting genera predicciones actualizadas de demanda para cada SKU en los próximos L días.</w:t>
      </w:r>
    </w:p>
    <w:p>
      <w:pPr>
        <w:pStyle w:val="ListParagraph"/>
        <w:numPr>
          <w:ilvl w:val="0"/>
          <w:numId w:val="3"/>
        </w:numPr>
        <w:spacing w:after="60" w:before="60"/>
      </w:pPr>
      <w:r>
        <w:rPr>
          <w:rFonts w:ascii="Arial" w:cs="Arial" w:eastAsia="Arial" w:hAnsi="Arial"/>
          <w:b/>
          <w:bCs/>
          <w:color w:val="333333"/>
          <w:sz w:val="22"/>
          <w:szCs w:val="22"/>
        </w:rPr>
        <w:t xml:space="preserve">Recálculo de s: </w:t>
      </w:r>
      <w:r>
        <w:rPr>
          <w:rFonts w:ascii="Arial" w:cs="Arial" w:eastAsia="Arial" w:hAnsi="Arial"/>
          <w:color w:val="333333"/>
          <w:sz w:val="22"/>
          <w:szCs w:val="22"/>
        </w:rPr>
        <w:t xml:space="preserve">el módulo de inventario actualiza el punto de reorden sumando las predicciones de demanda durante el lead time más el safety stock calculado con la incertidumbre del pronóstico.</w:t>
      </w:r>
    </w:p>
    <w:p>
      <w:pPr>
        <w:pStyle w:val="ListParagraph"/>
        <w:numPr>
          <w:ilvl w:val="0"/>
          <w:numId w:val="3"/>
        </w:numPr>
        <w:spacing w:after="60" w:before="60"/>
      </w:pPr>
      <w:r>
        <w:rPr>
          <w:rFonts w:ascii="Arial" w:cs="Arial" w:eastAsia="Arial" w:hAnsi="Arial"/>
          <w:b/>
          <w:bCs/>
          <w:color w:val="333333"/>
          <w:sz w:val="22"/>
          <w:szCs w:val="22"/>
        </w:rPr>
        <w:t xml:space="preserve">Evaluación del stock: </w:t>
      </w:r>
      <w:r>
        <w:rPr>
          <w:rFonts w:ascii="Arial" w:cs="Arial" w:eastAsia="Arial" w:hAnsi="Arial"/>
          <w:color w:val="333333"/>
          <w:sz w:val="22"/>
          <w:szCs w:val="22"/>
        </w:rPr>
        <w:t xml:space="preserve">si el stock actual cae por debajo del nuevo s, se genera automáticamente una orden de compra por (S − stock_actual) unidades, respetando restricciones de proveedor.</w:t>
      </w:r>
    </w:p>
    <w:p>
      <w:pPr>
        <w:pStyle w:val="ListParagraph"/>
        <w:numPr>
          <w:ilvl w:val="0"/>
          <w:numId w:val="3"/>
        </w:numPr>
        <w:spacing w:after="60" w:before="60"/>
      </w:pPr>
      <w:r>
        <w:rPr>
          <w:rFonts w:ascii="Arial" w:cs="Arial" w:eastAsia="Arial" w:hAnsi="Arial"/>
          <w:b/>
          <w:bCs/>
          <w:color w:val="333333"/>
          <w:sz w:val="22"/>
          <w:szCs w:val="22"/>
        </w:rPr>
        <w:t xml:space="preserve">Ajuste estacional: </w:t>
      </w:r>
      <w:r>
        <w:rPr>
          <w:rFonts w:ascii="Arial" w:cs="Arial" w:eastAsia="Arial" w:hAnsi="Arial"/>
          <w:color w:val="333333"/>
          <w:sz w:val="22"/>
          <w:szCs w:val="22"/>
        </w:rPr>
        <w:t xml:space="preserve">en períodos de alta demanda predicha (feriados, CyberDay), s aumenta automáticamente, anticipando el reabastecimiento antes del pico.</w:t>
      </w:r>
    </w:p>
    <w:p>
      <w:pPr>
        <w:spacing w:after="60" w:before="60"/>
      </w:pPr>
      <w:r>
        <w:t xml:space="preserve"/>
      </w:r>
    </w:p>
    <w:p>
      <w:pPr>
        <w:spacing w:after="80" w:before="220"/>
      </w:pPr>
      <w:r>
        <w:rPr>
          <w:rFonts w:ascii="Arial" w:cs="Arial" w:eastAsia="Arial" w:hAnsi="Arial"/>
          <w:b/>
          <w:bCs/>
          <w:color w:val="1A1A2E"/>
          <w:sz w:val="24"/>
          <w:szCs w:val="24"/>
        </w:rPr>
        <w:t xml:space="preserve">4.4.4 Restricciones reales de proveedor</w:t>
      </w:r>
    </w:p>
    <w:p>
      <w:pPr>
        <w:spacing w:after="80" w:before="80"/>
        <w:jc w:val="both"/>
      </w:pPr>
      <w:r>
        <w:rPr>
          <w:rFonts w:ascii="Arial" w:cs="Arial" w:eastAsia="Arial" w:hAnsi="Arial"/>
          <w:color w:val="333333"/>
          <w:sz w:val="22"/>
          <w:szCs w:val="22"/>
        </w:rPr>
        <w:t xml:space="preserve">A diferencia del EOQ teórico, la implementación práctica de la política (s,S) en esta tesis incorpora restricciones reales que enfrentan las distribuidoras chilenas: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Restricción</w:t>
            </w:r>
          </w:p>
        </w:tc>
        <w:tc>
          <w:tcPr>
            <w:tcW w:type="dxa" w:w="6026"/>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pPr>
              <w:jc w:val="both"/>
            </w:pPr>
            <w:r>
              <w:rPr>
                <w:rFonts w:ascii="Arial" w:cs="Arial" w:eastAsia="Arial" w:hAnsi="Arial"/>
                <w:b/>
                <w:bCs/>
                <w:color w:val="FFFFFF"/>
                <w:sz w:val="20"/>
                <w:szCs w:val="20"/>
              </w:rPr>
              <w:t xml:space="preserve">Implementación en el sistema</w:t>
            </w:r>
          </w:p>
        </w:tc>
      </w:tr>
      <w:tr>
        <w:trPr>
          <w:tblHeader w:val="false"/>
        </w:trPr>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Mínimo de compra (MOQ)</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Si Q* &lt; MOQ del proveedor, la orden se ajusta al MOQ. Se registra el sobrecosto en el CTI.</w:t>
            </w:r>
          </w:p>
        </w:tc>
      </w:tr>
      <w:tr>
        <w:trPr>
          <w:tblHeader w:val="false"/>
        </w:trPr>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Lead time variable</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Se modela el lead time como distribución discreta (mín, modal, máx) y el safety stock se calcula con el peor caso ponderado.</w:t>
            </w:r>
          </w:p>
        </w:tc>
      </w:tr>
      <w:tr>
        <w:trPr>
          <w:tblHeader w:val="false"/>
        </w:trPr>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Múltiplo de compra (pack size)</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La orden Q se redondea al múltiplo de pack size inmediatamente superior: Q = ceil(Q*/pack_size) × pack_size.</w:t>
            </w:r>
          </w:p>
        </w:tc>
      </w:tr>
      <w:tr>
        <w:trPr>
          <w:tblHeader w:val="false"/>
        </w:trPr>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Frecuencia máxima de pedido</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Algunos proveedores solo aceptan órdenes semanales. Se incorpora como restricción temporal del generador de órdenes.</w:t>
            </w:r>
          </w:p>
        </w:tc>
      </w:tr>
    </w:tbl>
    <w:p>
      <w:pPr>
        <w:spacing w:after="60" w:before="60"/>
      </w:pPr>
      <w:r>
        <w:t xml:space="preserve"/>
      </w:r>
    </w:p>
    <w:p>
      <w:pPr>
        <w:spacing w:after="80" w:before="220"/>
      </w:pPr>
      <w:r>
        <w:rPr>
          <w:rFonts w:ascii="Arial" w:cs="Arial" w:eastAsia="Arial" w:hAnsi="Arial"/>
          <w:b/>
          <w:bCs/>
          <w:color w:val="1A1A2E"/>
          <w:sz w:val="24"/>
          <w:szCs w:val="24"/>
        </w:rPr>
        <w:t xml:space="preserve">4.4.5 Evidencia empírica del beneficio de (s,S) sobre EOQ</w:t>
      </w:r>
    </w:p>
    <w:p>
      <w:pPr>
        <w:spacing w:after="80" w:before="80"/>
        <w:jc w:val="both"/>
      </w:pPr>
      <w:r>
        <w:rPr>
          <w:rFonts w:ascii="Arial" w:cs="Arial" w:eastAsia="Arial" w:hAnsi="Arial"/>
          <w:color w:val="333333"/>
          <w:sz w:val="22"/>
          <w:szCs w:val="22"/>
        </w:rPr>
        <w:t xml:space="preserve">Theodorou et al. (2025) comparan EOQ, (s,S) y modelos de base-stock en simulaciones de retail, concluyendo que el EOQ falla sistemáticamente bajo demanda dinámica y que la política (s,S) reduce la tasa de quiebre en un 18–34% al adaptarse a la variabilidad real. Luo et al. (2024) combinan EOQ y (s,S) con optimización dinámica de umbrales, logrando una reducción del 12.7% en costos totales. Perera et al. (2025) demuestran que el aprendizaje supervisado de los parámetros s y S sobre demanda estocástica real supera las fórmulas analíticas en un 9–22% en términos de costo total.</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Fortaleza (s,S)</w:t>
            </w:r>
          </w:p>
        </w:tc>
        <w:tc>
          <w:tcPr>
            <w:tcW w:type="dxa" w:w="6026"/>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pPr>
              <w:jc w:val="both"/>
            </w:pPr>
            <w:r>
              <w:rPr>
                <w:rFonts w:ascii="Arial" w:cs="Arial" w:eastAsia="Arial" w:hAnsi="Arial"/>
                <w:b/>
                <w:bCs/>
                <w:color w:val="FFFFFF"/>
                <w:sz w:val="20"/>
                <w:szCs w:val="20"/>
              </w:rPr>
              <w:t xml:space="preserve">Limitación (s,S)</w:t>
            </w:r>
          </w:p>
        </w:tc>
      </w:tr>
      <w:tr>
        <w:trPr>
          <w:tblHeader w:val="false"/>
        </w:trPr>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Se adapta a demanda variable — parámetros se recalculan con cada pronóstico</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Más compleja de implementar y calibrar que EOQ</w:t>
            </w:r>
          </w:p>
        </w:tc>
      </w:tr>
      <w:tr>
        <w:trPr>
          <w:tblHeader w:val="false"/>
        </w:trPr>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Óptima bajo demanda estocástica con costo fijo de pedido (demostrado formalmente)</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Requiere estimación confiable de distribución de demanda durante lead time</w:t>
            </w:r>
          </w:p>
        </w:tc>
      </w:tr>
      <w:tr>
        <w:trPr>
          <w:tblHeader w:val="false"/>
        </w:trPr>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Incorpora naturalmente restricciones de proveedor (MOQ, lead time)</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Puede generar órdenes muy frecuentes si s y S están mal calibrados</w:t>
            </w:r>
          </w:p>
        </w:tc>
      </w:tr>
      <w:tr>
        <w:trPr>
          <w:tblHeader w:val="false"/>
        </w:trPr>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Reduce capital inmovilizado en períodos de baja demanda al no reponer hasta S si no cae bajo s</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Resultado depende fuertemente de la calidad del pronóstico — propaga errores del forecasting</w:t>
            </w:r>
          </w:p>
        </w:tc>
      </w:tr>
    </w:tbl>
    <w:p>
      <w:pPr>
        <w:spacing w:after="60" w:before="60"/>
      </w:pPr>
      <w:r>
        <w:t xml:space="preserve"/>
      </w:r>
    </w:p>
    <w:p>
      <w:pPr>
        <w:pStyle w:val="Heading2"/>
        <w:spacing w:after="120" w:before="280"/>
      </w:pPr>
      <w:r>
        <w:rPr>
          <w:rFonts w:ascii="Arial" w:cs="Arial" w:eastAsia="Arial" w:hAnsi="Arial"/>
          <w:b/>
          <w:bCs/>
          <w:color w:val="2E5BA8"/>
          <w:sz w:val="26"/>
          <w:szCs w:val="26"/>
        </w:rPr>
        <w:t xml:space="preserve">4.5 Comparativa EOQ vs. política (s,S) — Diseño del experimento</w:t>
      </w:r>
    </w:p>
    <w:p>
      <w:pPr>
        <w:spacing w:after="80" w:before="80"/>
        <w:jc w:val="both"/>
      </w:pPr>
      <w:r>
        <w:rPr>
          <w:rFonts w:ascii="Arial" w:cs="Arial" w:eastAsia="Arial" w:hAnsi="Arial"/>
          <w:color w:val="333333"/>
          <w:sz w:val="22"/>
          <w:szCs w:val="22"/>
        </w:rPr>
        <w:t xml:space="preserve">El experimento comparativo central del módulo de inventario consiste en simular ambas políticas sobre el mismo dataset de demanda real del período de prueba, midiendo las métricas de la sección 3.2 para cada una. El diseño del experimento es el siguiente: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3013"/>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EOQ (baseline)</w:t>
            </w:r>
          </w:p>
        </w:tc>
        <w:tc>
          <w:tcPr>
            <w:tcW w:type="dxa" w:w="3013"/>
            <w:tcBorders>
              <w:top w:val="single" w:color="DDDDDD" w:sz="1"/>
              <w:left w:val="single" w:color="DDDDDD" w:sz="1"/>
              <w:bottom w:val="single" w:color="DDDDDD" w:sz="1"/>
              <w:right w:val="single" w:color="DDDDDD" w:sz="1"/>
            </w:tcBorders>
            <w:shd w:fill="2E5BA8" w:val="clear"/>
            <w:tcMar>
              <w:top w:type="dxa" w:w="80"/>
              <w:left w:type="dxa" w:w="120"/>
              <w:bottom w:type="dxa" w:w="80"/>
              <w:right w:type="dxa" w:w="120"/>
            </w:tcMar>
          </w:tcPr>
          <w:p>
            <w:r>
              <w:rPr>
                <w:rFonts w:ascii="Arial" w:cs="Arial" w:eastAsia="Arial" w:hAnsi="Arial"/>
                <w:b/>
                <w:bCs/>
                <w:color w:val="FFFFFF"/>
                <w:sz w:val="20"/>
                <w:szCs w:val="20"/>
              </w:rPr>
              <w:t xml:space="preserve">Política (s,S) dinámica</w:t>
            </w:r>
          </w:p>
        </w:tc>
      </w:tr>
      <w:tr>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jc w:val="both"/>
            </w:pPr>
            <w:r>
              <w:rPr>
                <w:rFonts w:ascii="Arial" w:cs="Arial" w:eastAsia="Arial" w:hAnsi="Arial"/>
                <w:b/>
                <w:bCs/>
                <w:color w:val="333333"/>
                <w:sz w:val="20"/>
                <w:szCs w:val="20"/>
              </w:rPr>
              <w:t xml:space="preserve">Señal de demanda</w:t>
            </w:r>
          </w:p>
        </w:tc>
        <w:tc>
          <w:tcPr>
            <w:tcW w:type="dxa" w:w="30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Promedio histórico (estático)</w:t>
            </w:r>
          </w:p>
        </w:tc>
        <w:tc>
          <w:tcPr>
            <w:tcW w:type="dxa" w:w="30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Pronóstico diario del AMS (dinámico)</w:t>
            </w:r>
          </w:p>
        </w:tc>
      </w:tr>
      <w:tr>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jc w:val="both"/>
            </w:pPr>
            <w:r>
              <w:rPr>
                <w:rFonts w:ascii="Arial" w:cs="Arial" w:eastAsia="Arial" w:hAnsi="Arial"/>
                <w:b/>
                <w:bCs/>
                <w:color w:val="333333"/>
                <w:sz w:val="20"/>
                <w:szCs w:val="20"/>
              </w:rPr>
              <w:t xml:space="preserve">Parámetros</w:t>
            </w:r>
          </w:p>
        </w:tc>
        <w:tc>
          <w:tcPr>
            <w:tcW w:type="dxa" w:w="30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Q* fijo, s fijo por SKU</w:t>
            </w:r>
          </w:p>
        </w:tc>
        <w:tc>
          <w:tcPr>
            <w:tcW w:type="dxa" w:w="30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s y S recalculados diariamente por SKU</w:t>
            </w:r>
          </w:p>
        </w:tc>
      </w:tr>
      <w:tr>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jc w:val="both"/>
            </w:pPr>
            <w:r>
              <w:rPr>
                <w:rFonts w:ascii="Arial" w:cs="Arial" w:eastAsia="Arial" w:hAnsi="Arial"/>
                <w:b/>
                <w:bCs/>
                <w:color w:val="333333"/>
                <w:sz w:val="20"/>
                <w:szCs w:val="20"/>
              </w:rPr>
              <w:t xml:space="preserve">Safety stock</w:t>
            </w:r>
          </w:p>
        </w:tc>
        <w:tc>
          <w:tcPr>
            <w:tcW w:type="dxa" w:w="30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z × σ_histórica × √L</w:t>
            </w:r>
          </w:p>
        </w:tc>
        <w:tc>
          <w:tcPr>
            <w:tcW w:type="dxa" w:w="30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z × σ_pronóstico × √L (menor cuando el modelo predice bien)</w:t>
            </w:r>
          </w:p>
        </w:tc>
      </w:tr>
      <w:tr>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jc w:val="both"/>
            </w:pPr>
            <w:r>
              <w:rPr>
                <w:rFonts w:ascii="Arial" w:cs="Arial" w:eastAsia="Arial" w:hAnsi="Arial"/>
                <w:b/>
                <w:bCs/>
                <w:color w:val="333333"/>
                <w:sz w:val="20"/>
                <w:szCs w:val="20"/>
              </w:rPr>
              <w:t xml:space="preserve">Restricciones proveedor</w:t>
            </w:r>
          </w:p>
        </w:tc>
        <w:tc>
          <w:tcPr>
            <w:tcW w:type="dxa" w:w="30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Solo MOQ básico</w:t>
            </w:r>
          </w:p>
        </w:tc>
        <w:tc>
          <w:tcPr>
            <w:tcW w:type="dxa" w:w="30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MOQ + lead time variable + pack size</w:t>
            </w:r>
          </w:p>
        </w:tc>
      </w:tr>
      <w:tr>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jc w:val="both"/>
            </w:pPr>
            <w:r>
              <w:rPr>
                <w:rFonts w:ascii="Arial" w:cs="Arial" w:eastAsia="Arial" w:hAnsi="Arial"/>
                <w:b/>
                <w:bCs/>
                <w:color w:val="333333"/>
                <w:sz w:val="20"/>
                <w:szCs w:val="20"/>
              </w:rPr>
              <w:t xml:space="preserve">Métricas medidas</w:t>
            </w:r>
          </w:p>
        </w:tc>
        <w:tc>
          <w:tcPr>
            <w:tcW w:type="dxa" w:w="30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CI, TQ, NS, RI, CTI</w:t>
            </w:r>
          </w:p>
        </w:tc>
        <w:tc>
          <w:tcPr>
            <w:tcW w:type="dxa" w:w="30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CI, TQ, NS, RI, CTI</w:t>
            </w:r>
          </w:p>
        </w:tc>
      </w:tr>
      <w:tr>
        <w:tc>
          <w:tcPr>
            <w:tcW w:type="dxa" w:w="3000"/>
            <w:tcBorders>
              <w:top w:val="single" w:color="DDDDDD" w:sz="1"/>
              <w:left w:val="single" w:color="DDDDDD" w:sz="1"/>
              <w:bottom w:val="single" w:color="DDDDDD" w:sz="1"/>
              <w:right w:val="single" w:color="DDDDDD" w:sz="1"/>
            </w:tcBorders>
            <w:shd w:fill="F5F7FA" w:val="clear"/>
            <w:tcMar>
              <w:top w:type="dxa" w:w="80"/>
              <w:left w:type="dxa" w:w="120"/>
              <w:bottom w:type="dxa" w:w="80"/>
              <w:right w:type="dxa" w:w="120"/>
            </w:tcMar>
          </w:tcPr>
          <w:p>
            <w:pPr>
              <w:jc w:val="both"/>
            </w:pPr>
            <w:r>
              <w:rPr>
                <w:rFonts w:ascii="Arial" w:cs="Arial" w:eastAsia="Arial" w:hAnsi="Arial"/>
                <w:b/>
                <w:bCs/>
                <w:color w:val="333333"/>
                <w:sz w:val="20"/>
                <w:szCs w:val="20"/>
              </w:rPr>
              <w:t xml:space="preserve">Resultado esperado</w:t>
            </w:r>
          </w:p>
        </w:tc>
        <w:tc>
          <w:tcPr>
            <w:tcW w:type="dxa" w:w="30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Referencia de comparación</w:t>
            </w:r>
          </w:p>
        </w:tc>
        <w:tc>
          <w:tcPr>
            <w:tcW w:type="dxa" w:w="30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both"/>
            </w:pPr>
            <w:r>
              <w:rPr>
                <w:rFonts w:ascii="Arial" w:cs="Arial" w:eastAsia="Arial" w:hAnsi="Arial"/>
                <w:b w:val="false"/>
                <w:bCs w:val="false"/>
                <w:color w:val="333333"/>
                <w:sz w:val="20"/>
                <w:szCs w:val="20"/>
              </w:rPr>
              <w:t xml:space="preserve">Menor CI y TQ según hipótesis 3</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DDDDD" w:sz="1"/>
              <w:left w:val="single" w:color="DDDDDD" w:sz="1"/>
              <w:bottom w:val="single" w:color="DDDDDD" w:sz="1"/>
              <w:right w:val="single" w:color="DDDDDD" w:sz="1"/>
            </w:tcBorders>
            <w:shd w:fill="FAEEDA" w:val="clear"/>
            <w:tcMar>
              <w:top w:type="dxa" w:w="130"/>
              <w:left w:type="dxa" w:w="200"/>
              <w:bottom w:type="dxa" w:w="130"/>
              <w:right w:type="dxa" w:w="200"/>
            </w:tcMar>
          </w:tcPr>
          <w:p>
            <w:pPr>
              <w:spacing w:after="60" w:before="0"/>
            </w:pPr>
            <w:r>
              <w:rPr>
                <w:rFonts w:ascii="Arial" w:cs="Arial" w:eastAsia="Arial" w:hAnsi="Arial"/>
                <w:b/>
                <w:bCs/>
                <w:color w:val="633806"/>
                <w:sz w:val="20"/>
                <w:szCs w:val="20"/>
              </w:rPr>
              <w:t xml:space="preserve">Hipótesis que el experimento busca validar</w:t>
            </w:r>
          </w:p>
          <w:p>
            <w:pPr>
              <w:jc w:val="both"/>
            </w:pPr>
            <w:r>
              <w:rPr>
                <w:rFonts w:ascii="Arial" w:cs="Arial" w:eastAsia="Arial" w:hAnsi="Arial"/>
                <w:color w:val="1A1A2E"/>
                <w:sz w:val="21"/>
                <w:szCs w:val="21"/>
              </w:rPr>
              <w:t xml:space="preserve">H. secundaria 3: «Una política de inventario (s,S) alimentada por predicciones de demanda variables reduce la tasa de quiebre de stock respecto a una política EOQ con demanda promedio fija.»
Medición: comparación de TQ, CI y CTI entre EOQ baseline y política (s,S) dinámica sobre el mismo período de prueba del dataset Kaggle.</w:t>
            </w:r>
          </w:p>
        </w:tc>
      </w:tr>
    </w:tbl>
    <w:p>
      <w:pPr>
        <w:spacing w:after="60" w:before="60"/>
      </w:pPr>
      <w:r>
        <w:t xml:space="preserve"/>
      </w:r>
    </w:p>
    <w:p>
      <w:pPr>
        <w:spacing w:after="60" w:before="60"/>
      </w:pPr>
      <w:r>
        <w:t xml:space="preserve"/>
      </w:r>
    </w:p>
    <w:p>
      <w:pPr>
        <w:pBdr>
          <w:top w:val="single" w:color="CCCCCC" w:sz="4" w:space="8"/>
        </w:pBdr>
        <w:spacing w:after="80" w:before="240"/>
      </w:pPr>
      <w:r>
        <w:rPr>
          <w:rFonts w:ascii="Arial" w:cs="Arial" w:eastAsia="Arial" w:hAnsi="Arial"/>
          <w:b/>
          <w:bCs/>
          <w:color w:val="1A1A2E"/>
          <w:sz w:val="22"/>
          <w:szCs w:val="22"/>
        </w:rPr>
        <w:t xml:space="preserve">Referencias citadas en este capítulo</w:t>
      </w:r>
    </w:p>
    <w:p>
      <w:pPr>
        <w:spacing w:after="60" w:before="60"/>
      </w:pPr>
      <w:r>
        <w:t xml:space="preserve"/>
      </w:r>
    </w:p>
    <w:p>
      <w:pPr>
        <w:pStyle w:val="ListParagraph"/>
        <w:numPr>
          <w:ilvl w:val="0"/>
          <w:numId w:val="2"/>
        </w:numPr>
        <w:spacing w:after="60" w:before="60"/>
        <w:ind w:left="720" w:hanging="360"/>
      </w:pPr>
      <w:r>
        <w:rPr>
          <w:rFonts w:ascii="Arial" w:cs="Arial" w:eastAsia="Arial" w:hAnsi="Arial"/>
          <w:color w:val="444444"/>
          <w:sz w:val="20"/>
          <w:szCs w:val="20"/>
        </w:rPr>
        <w:t xml:space="preserve">Arrow, K. J., Harris, T. E., &amp; Marschak, J. (1951). Optimal inventory policy. Econometrica, 19(3), 250–272.</w:t>
      </w:r>
    </w:p>
    <w:p>
      <w:pPr>
        <w:pStyle w:val="ListParagraph"/>
        <w:numPr>
          <w:ilvl w:val="0"/>
          <w:numId w:val="2"/>
        </w:numPr>
        <w:spacing w:after="60" w:before="60"/>
        <w:ind w:left="720" w:hanging="360"/>
      </w:pPr>
      <w:r>
        <w:rPr>
          <w:rFonts w:ascii="Arial" w:cs="Arial" w:eastAsia="Arial" w:hAnsi="Arial"/>
          <w:color w:val="444444"/>
          <w:sz w:val="20"/>
          <w:szCs w:val="20"/>
        </w:rPr>
        <w:t xml:space="preserve">Harris, F. W. (1913). How many parts to make at once. Factory: The Magazine of Management, 10(2), 135–136.</w:t>
      </w:r>
    </w:p>
    <w:p>
      <w:pPr>
        <w:pStyle w:val="ListParagraph"/>
        <w:numPr>
          <w:ilvl w:val="0"/>
          <w:numId w:val="2"/>
        </w:numPr>
        <w:spacing w:after="60" w:before="60"/>
        <w:ind w:left="720" w:hanging="360"/>
      </w:pPr>
      <w:r>
        <w:rPr>
          <w:rFonts w:ascii="Arial" w:cs="Arial" w:eastAsia="Arial" w:hAnsi="Arial"/>
          <w:color w:val="444444"/>
          <w:sz w:val="20"/>
          <w:szCs w:val="20"/>
        </w:rPr>
        <w:t xml:space="preserve">Luo, J. et al. (2024). Research on inventory sustainable development strategy for maximizing cost-effectiveness in supply chain. Sustainability, 16(11), 4442. MDPI. https://doi.org/10.3390/su16114442</w:t>
      </w:r>
    </w:p>
    <w:p>
      <w:pPr>
        <w:pStyle w:val="ListParagraph"/>
        <w:numPr>
          <w:ilvl w:val="0"/>
          <w:numId w:val="2"/>
        </w:numPr>
        <w:spacing w:after="60" w:before="60"/>
        <w:ind w:left="720" w:hanging="360"/>
      </w:pPr>
      <w:r>
        <w:rPr>
          <w:rFonts w:ascii="Arial" w:cs="Arial" w:eastAsia="Arial" w:hAnsi="Arial"/>
          <w:color w:val="444444"/>
          <w:sz w:val="20"/>
          <w:szCs w:val="20"/>
        </w:rPr>
        <w:t xml:space="preserve">Perera, S. et al. (2025). Supervised learning for the (s,S) inventory model with general interarrival demands and general lead times. arXiv preprint, arXiv:2601.12900.</w:t>
      </w:r>
    </w:p>
    <w:p>
      <w:pPr>
        <w:pStyle w:val="ListParagraph"/>
        <w:numPr>
          <w:ilvl w:val="0"/>
          <w:numId w:val="2"/>
        </w:numPr>
        <w:spacing w:after="60" w:before="60"/>
        <w:ind w:left="720" w:hanging="360"/>
      </w:pPr>
      <w:r>
        <w:rPr>
          <w:rFonts w:ascii="Arial" w:cs="Arial" w:eastAsia="Arial" w:hAnsi="Arial"/>
          <w:color w:val="444444"/>
          <w:sz w:val="20"/>
          <w:szCs w:val="20"/>
        </w:rPr>
        <w:t xml:space="preserve">Scarf, H. (1960). The optimality of (s,S) policies in the dynamic inventory problem. In K. J. Arrow, S. Karlin, &amp; P. Suppes (Eds.), Mathematical methods in the social sciences (pp. 196–202). Stanford University Press.</w:t>
      </w:r>
    </w:p>
    <w:p>
      <w:pPr>
        <w:pStyle w:val="ListParagraph"/>
        <w:numPr>
          <w:ilvl w:val="0"/>
          <w:numId w:val="2"/>
        </w:numPr>
        <w:spacing w:after="60" w:before="60"/>
        <w:ind w:left="720" w:hanging="360"/>
      </w:pPr>
      <w:r>
        <w:rPr>
          <w:rFonts w:ascii="Arial" w:cs="Arial" w:eastAsia="Arial" w:hAnsi="Arial"/>
          <w:color w:val="444444"/>
          <w:sz w:val="20"/>
          <w:szCs w:val="20"/>
        </w:rPr>
        <w:t xml:space="preserve">Theodorou, E. et al. (2025). Inventory optimization in retail supply chains using deep reinforcement learning. AMIT Journal. ojs.apspublisher.com/index.php/amit/article/download/470/363/967</w:t>
      </w:r>
    </w:p>
    <w:p>
      <w:pPr>
        <w:pStyle w:val="ListParagraph"/>
        <w:numPr>
          <w:ilvl w:val="0"/>
          <w:numId w:val="2"/>
        </w:numPr>
        <w:spacing w:after="60" w:before="60"/>
        <w:ind w:left="720" w:hanging="360"/>
      </w:pPr>
      <w:r>
        <w:rPr>
          <w:rFonts w:ascii="Arial" w:cs="Arial" w:eastAsia="Arial" w:hAnsi="Arial"/>
          <w:color w:val="444444"/>
          <w:sz w:val="20"/>
          <w:szCs w:val="20"/>
        </w:rPr>
        <w:t xml:space="preserve">Goulart, D. D. et al. (2026). Predictive models for inventory optimization: a machine learning application for demand forecasting at a construction supplies distributor. Future Business Journal, 12, Article 92. https://doi.org/10.1186/s43093-026-00807-8</w:t>
      </w:r>
    </w:p>
    <w:p>
      <w:pPr>
        <w:spacing w:after="60" w:before="60"/>
      </w:pPr>
      <w:r>
        <w:t xml:space="preserve"/>
      </w:r>
    </w:p>
    <w:p>
      <w:pPr>
        <w:spacing w:before="100"/>
      </w:pPr>
      <w:r>
        <w:rPr>
          <w:rFonts w:ascii="Arial" w:cs="Arial" w:eastAsia="Arial" w:hAnsi="Arial"/>
          <w:i/>
          <w:iCs/>
          <w:color w:val="888888"/>
          <w:sz w:val="18"/>
          <w:szCs w:val="18"/>
        </w:rPr>
        <w:t xml:space="preserve">Documento — Mayo 2025  |  Integrante 2 — Módulo de Inventario y Métricas.</w:t>
      </w:r>
    </w:p>
    <w:sectPr>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Tesis — Marco Teórico: Inventario y Métricas  |  Pág.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2026-04-29T18:34:16.230Z</dcterms:created>
  <dcterms:modified xsi:type="dcterms:W3CDTF">2026-04-29T18:34:16.230Z</dcterms:modified>
</cp:coreProperties>
</file>

<file path=docProps/custom.xml><?xml version="1.0" encoding="utf-8"?>
<Properties xmlns="http://schemas.openxmlformats.org/officeDocument/2006/custom-properties" xmlns:vt="http://schemas.openxmlformats.org/officeDocument/2006/docPropsVTypes"/>
</file>