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C4" w:rsidRDefault="00CE0AC4">
      <w:pPr>
        <w:pStyle w:val="ConsPlusNormal"/>
        <w:jc w:val="both"/>
        <w:outlineLvl w:val="0"/>
      </w:pPr>
    </w:p>
    <w:p w:rsidR="00CE0AC4" w:rsidRDefault="00C54525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CE0AC4" w:rsidRDefault="00CE0AC4">
      <w:pPr>
        <w:pStyle w:val="ConsPlusTitle"/>
        <w:jc w:val="center"/>
      </w:pPr>
    </w:p>
    <w:p w:rsidR="00CE0AC4" w:rsidRDefault="00C54525">
      <w:pPr>
        <w:pStyle w:val="ConsPlusTitle"/>
        <w:jc w:val="center"/>
      </w:pPr>
      <w:r>
        <w:t>ПОСТАНОВЛЕНИЕ</w:t>
      </w:r>
    </w:p>
    <w:p w:rsidR="00CE0AC4" w:rsidRDefault="00C54525">
      <w:pPr>
        <w:pStyle w:val="ConsPlusTitle"/>
        <w:jc w:val="center"/>
      </w:pPr>
      <w:r>
        <w:t>от 28 октября 2021 г. N 1850</w:t>
      </w:r>
    </w:p>
    <w:p w:rsidR="00CE0AC4" w:rsidRDefault="00CE0AC4">
      <w:pPr>
        <w:pStyle w:val="ConsPlusTitle"/>
        <w:jc w:val="center"/>
      </w:pPr>
    </w:p>
    <w:p w:rsidR="00CE0AC4" w:rsidRDefault="00C54525">
      <w:pPr>
        <w:pStyle w:val="ConsPlusTitle"/>
        <w:jc w:val="center"/>
      </w:pPr>
      <w:r>
        <w:t>О ВНЕСЕНИИ ИЗМЕНЕНИЙ</w:t>
      </w:r>
    </w:p>
    <w:p w:rsidR="00CE0AC4" w:rsidRDefault="00C54525">
      <w:pPr>
        <w:pStyle w:val="ConsPlusTitle"/>
        <w:jc w:val="center"/>
      </w:pPr>
      <w:r>
        <w:t>В ПРАВИЛА ПРЕДОСТАВЛЕНИЯ СУБСИДИЙ ИЗ ФЕДЕРАЛЬНОГО</w:t>
      </w:r>
    </w:p>
    <w:p w:rsidR="00CE0AC4" w:rsidRDefault="00C54525">
      <w:pPr>
        <w:pStyle w:val="ConsPlusTitle"/>
        <w:jc w:val="center"/>
      </w:pPr>
      <w:r>
        <w:t>БЮДЖЕТА РОССИЙСКИМ КРЕДИТНЫМ ОРГАНИЗАЦИЯМ НА ВОЗМЕЩЕНИЕ</w:t>
      </w:r>
    </w:p>
    <w:p w:rsidR="00CE0AC4" w:rsidRDefault="00C54525">
      <w:pPr>
        <w:pStyle w:val="ConsPlusTitle"/>
        <w:jc w:val="center"/>
      </w:pPr>
      <w:r>
        <w:t>НЕДОПОЛУЧЕННЫХ ИМИ ДОХОДОВ ПО КРЕДИТАМ, ВЫДАННЫМ В 2021 ГОДУ</w:t>
      </w:r>
    </w:p>
    <w:p w:rsidR="00CE0AC4" w:rsidRDefault="00C54525">
      <w:pPr>
        <w:pStyle w:val="ConsPlusTitle"/>
        <w:jc w:val="center"/>
      </w:pPr>
      <w:r>
        <w:t>ЮРИДИЧЕСКИМ ЛИЦАМ И ИНДИВИДУАЛЬНЫМ ПРЕДПРИНИМАТЕЛЯМ</w:t>
      </w:r>
    </w:p>
    <w:p w:rsidR="00CE0AC4" w:rsidRDefault="00C54525">
      <w:pPr>
        <w:pStyle w:val="ConsPlusTitle"/>
        <w:jc w:val="center"/>
      </w:pPr>
      <w:r>
        <w:t>НА ВОССТАНОВЛЕНИЕ ПРЕДПРИНИМАТЕЛЬСКОЙ ДЕЯТЕЛЬНОСТИ</w:t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3" w:tooltip="ИЗМЕНЕНИЯ," w:history="1">
        <w:r>
          <w:rPr>
            <w:color w:val="0000FF"/>
          </w:rPr>
          <w:t>изменения</w:t>
        </w:r>
      </w:hyperlink>
      <w:r>
        <w:t xml:space="preserve">, которые вносятся в </w:t>
      </w:r>
      <w:hyperlink r:id="rId6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2021 году юридическим лицам и индивидуальным предпринимателям на восстановление предпринимательской деятельности, утвержденные постановлением Правительства Российской Федерации от 27 февраля 2021 г. N 279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2021 году юридическим лицам и индивидуальным предпринимателям на восстановление предпринимательской деятельности" (Собрание законодательства Российской Федерации, 2021, N 10, ст. 1617) (далее - Правила).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2. Установить, что: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кредитные договоры (соглашения), заключенные в соответствии с Правилами с юридическими лицами или индивидуальными предпринимателями с 9 марта по 1 июля 2021 г., подлежат приведению в соответствие с требованиями к условиям кредитных договоров (соглашений), установленными в </w:t>
      </w:r>
      <w:hyperlink r:id="rId7" w:history="1">
        <w:r>
          <w:rPr>
            <w:color w:val="0000FF"/>
          </w:rPr>
          <w:t>пункте 10</w:t>
        </w:r>
      </w:hyperlink>
      <w:r>
        <w:t xml:space="preserve"> Правил (с изменениями, внесенными настоящим постановлением), не позднее 1 декабря 2021 г.;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по кредитным договорам (соглашениям), заключенным в соответствии с Правилами с юридическими лицами или индивидуальными предпринимателями с 9 марта по 1 июля 2021 г., по которым до вступления в силу настоящего постановления юридическим лицом или индивидуальным предпринимателем произведена частичная оплата основного долга, включая перенесенные платежи процентов по кредитному договору (соглашению), определение равных долей в соответствии с </w:t>
      </w:r>
      <w:hyperlink r:id="rId8" w:history="1">
        <w:r>
          <w:rPr>
            <w:color w:val="0000FF"/>
          </w:rPr>
          <w:t>подпунктом "ж" пункта 10</w:t>
        </w:r>
      </w:hyperlink>
      <w:r>
        <w:t xml:space="preserve"> Правил (с изменениями, внесенными настоящим постановлением) осуществляется путем деления оставшейся части основного долга на количество оставшихся ежемесячных выплат до конца срока по кредитному договору (соглашению).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3. Настоящее постановление вступает в силу со дня его официального опубликования.</w:t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jc w:val="right"/>
      </w:pPr>
      <w:r>
        <w:t>Председатель Правительства</w:t>
      </w:r>
    </w:p>
    <w:p w:rsidR="00CE0AC4" w:rsidRDefault="00C54525">
      <w:pPr>
        <w:pStyle w:val="ConsPlusNormal"/>
        <w:jc w:val="right"/>
      </w:pPr>
      <w:r>
        <w:t>Российской Федерации</w:t>
      </w:r>
    </w:p>
    <w:p w:rsidR="00CE0AC4" w:rsidRDefault="00C54525">
      <w:pPr>
        <w:pStyle w:val="ConsPlusNormal"/>
        <w:jc w:val="right"/>
      </w:pPr>
      <w:r>
        <w:t>М.МИШУСТИН</w:t>
      </w:r>
    </w:p>
    <w:p w:rsidR="00CE0AC4" w:rsidRDefault="00CE0AC4">
      <w:pPr>
        <w:pStyle w:val="ConsPlusNormal"/>
        <w:jc w:val="both"/>
      </w:pPr>
    </w:p>
    <w:p w:rsidR="00CE0AC4" w:rsidRDefault="00CE0AC4">
      <w:pPr>
        <w:pStyle w:val="ConsPlusNormal"/>
        <w:jc w:val="both"/>
      </w:pPr>
    </w:p>
    <w:p w:rsidR="00CE0AC4" w:rsidRDefault="00CE0AC4">
      <w:pPr>
        <w:pStyle w:val="ConsPlusNormal"/>
        <w:jc w:val="both"/>
      </w:pPr>
    </w:p>
    <w:p w:rsidR="00CE0AC4" w:rsidRDefault="00CE0AC4">
      <w:pPr>
        <w:pStyle w:val="ConsPlusNormal"/>
        <w:jc w:val="both"/>
      </w:pP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jc w:val="right"/>
        <w:outlineLvl w:val="0"/>
      </w:pPr>
      <w:r>
        <w:t>Утверждены</w:t>
      </w:r>
    </w:p>
    <w:p w:rsidR="00CE0AC4" w:rsidRDefault="00C54525">
      <w:pPr>
        <w:pStyle w:val="ConsPlusNormal"/>
        <w:jc w:val="right"/>
      </w:pPr>
      <w:r>
        <w:t>постановлением Правительства</w:t>
      </w:r>
    </w:p>
    <w:p w:rsidR="00CE0AC4" w:rsidRDefault="00C54525">
      <w:pPr>
        <w:pStyle w:val="ConsPlusNormal"/>
        <w:jc w:val="right"/>
      </w:pPr>
      <w:r>
        <w:t>Российской Федерации</w:t>
      </w:r>
    </w:p>
    <w:p w:rsidR="00CE0AC4" w:rsidRDefault="00C54525">
      <w:pPr>
        <w:pStyle w:val="ConsPlusNormal"/>
        <w:jc w:val="right"/>
      </w:pPr>
      <w:r>
        <w:t>от 28 октября 2021 г. N 1850</w:t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Title"/>
        <w:jc w:val="center"/>
      </w:pPr>
      <w:bookmarkStart w:id="0" w:name="Par33"/>
      <w:bookmarkEnd w:id="0"/>
      <w:r>
        <w:t>ИЗМЕНЕНИЯ,</w:t>
      </w:r>
    </w:p>
    <w:p w:rsidR="00CE0AC4" w:rsidRDefault="00C54525">
      <w:pPr>
        <w:pStyle w:val="ConsPlusTitle"/>
        <w:jc w:val="center"/>
      </w:pPr>
      <w:r>
        <w:t>КОТОРЫЕ ВНОСЯТСЯ В ПРАВИЛА ПРЕДОСТАВЛЕНИЯ СУБСИДИЙ</w:t>
      </w:r>
    </w:p>
    <w:p w:rsidR="00CE0AC4" w:rsidRDefault="00C54525">
      <w:pPr>
        <w:pStyle w:val="ConsPlusTitle"/>
        <w:jc w:val="center"/>
      </w:pPr>
      <w:r>
        <w:t>ИЗ ФЕДЕРАЛЬНОГО БЮДЖЕТА РОССИЙСКИМ КРЕДИТНЫМ ОРГАНИЗАЦИЯМ</w:t>
      </w:r>
    </w:p>
    <w:p w:rsidR="00CE0AC4" w:rsidRDefault="00C54525">
      <w:pPr>
        <w:pStyle w:val="ConsPlusTitle"/>
        <w:jc w:val="center"/>
      </w:pPr>
      <w:r>
        <w:t>НА ВОЗМЕЩЕНИЕ НЕДОПОЛУЧЕННЫХ ИМИ ДОХОДОВ ПО КРЕДИТАМ,</w:t>
      </w:r>
    </w:p>
    <w:p w:rsidR="00CE0AC4" w:rsidRDefault="00C54525">
      <w:pPr>
        <w:pStyle w:val="ConsPlusTitle"/>
        <w:jc w:val="center"/>
      </w:pPr>
      <w:r>
        <w:t>ВЫДАННЫМ В 2021 ГОДУ ЮРИДИЧЕСКИМ ЛИЦАМ И ИНДИВИДУАЛЬНЫМ</w:t>
      </w:r>
    </w:p>
    <w:p w:rsidR="00CE0AC4" w:rsidRDefault="00C54525">
      <w:pPr>
        <w:pStyle w:val="ConsPlusTitle"/>
        <w:jc w:val="center"/>
      </w:pPr>
      <w:r>
        <w:t>ПРЕДПРИНИМАТЕЛЯМ НА ВОССТАНОВЛЕНИЕ</w:t>
      </w:r>
    </w:p>
    <w:p w:rsidR="00CE0AC4" w:rsidRDefault="00C54525">
      <w:pPr>
        <w:pStyle w:val="ConsPlusTitle"/>
        <w:jc w:val="center"/>
      </w:pPr>
      <w:r>
        <w:t>ПРЕДПРИНИМАТЕЛЬСКОЙ ДЕЯТЕЛЬНОСТИ</w:t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ind w:firstLine="540"/>
        <w:jc w:val="both"/>
      </w:pPr>
      <w:r>
        <w:t xml:space="preserve">1. В </w:t>
      </w:r>
      <w:hyperlink r:id="rId9" w:history="1">
        <w:r>
          <w:rPr>
            <w:color w:val="0000FF"/>
          </w:rPr>
          <w:t>пункте 3</w:t>
        </w:r>
      </w:hyperlink>
      <w:r>
        <w:t xml:space="preserve"> слова "2021 году" заменить словами "2021 - 2023 годах".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2. </w:t>
      </w:r>
      <w:hyperlink r:id="rId10" w:history="1">
        <w:r>
          <w:rPr>
            <w:color w:val="0000FF"/>
          </w:rPr>
          <w:t>Абзац четвертый пункта 5</w:t>
        </w:r>
      </w:hyperlink>
      <w:r>
        <w:t xml:space="preserve"> изложить в следующей редакции: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"кредитный договор (соглашение)" - кредитный договор (соглашение), заключенный с юридическим лицом или индивидуальным предпринимателем с 9 марта по 1 июля 2021 г. и (или) с 1 ноября по 30 декабря 2021 г. на срок не более 18 месяцев на восстановление предпринимательской деятельности;".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3. </w:t>
      </w:r>
      <w:hyperlink r:id="rId11" w:history="1">
        <w:r>
          <w:rPr>
            <w:color w:val="0000FF"/>
          </w:rPr>
          <w:t>Абзац второй пункта 9</w:t>
        </w:r>
      </w:hyperlink>
      <w:r>
        <w:t xml:space="preserve"> изложить в следующей редакции: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"Заемщик вправе одновременно иметь не более одного кредитного договора (соглашения) в рамках настоящих Правил, заключенного в период с 9 марта по 1 июля 2021 г., и не более одного кредитного договора (соглашения) в рамках настоящих Правил, заключенного в период с 1 ноября по 30 декабря 2021 г.".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4. В </w:t>
      </w:r>
      <w:hyperlink r:id="rId12" w:history="1">
        <w:r>
          <w:rPr>
            <w:color w:val="0000FF"/>
          </w:rPr>
          <w:t>пункте 10</w:t>
        </w:r>
      </w:hyperlink>
      <w:r>
        <w:t>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а) </w:t>
      </w:r>
      <w:hyperlink r:id="rId13" w:history="1">
        <w:r>
          <w:rPr>
            <w:color w:val="0000FF"/>
          </w:rPr>
          <w:t>абзац первый</w:t>
        </w:r>
      </w:hyperlink>
      <w:r>
        <w:t xml:space="preserve"> после слов "получателю субсидии" дополнить словами "по кредитному договору (соглашению), заключенному в период с 9 марта по 1 июля 2021 г.,";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б) </w:t>
      </w:r>
      <w:hyperlink r:id="rId14" w:history="1">
        <w:r>
          <w:rPr>
            <w:color w:val="0000FF"/>
          </w:rPr>
          <w:t>подпункт "в"</w:t>
        </w:r>
      </w:hyperlink>
      <w:r>
        <w:t xml:space="preserve"> после слов "получателя субсидии" дополнить словами "на дату заключения кредитного договора (соглашения)";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в) </w:t>
      </w:r>
      <w:hyperlink r:id="rId15" w:history="1">
        <w:r>
          <w:rPr>
            <w:color w:val="0000FF"/>
          </w:rPr>
          <w:t>подпункт "д"</w:t>
        </w:r>
      </w:hyperlink>
      <w:r>
        <w:t xml:space="preserve"> изложить в следующей редакции: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"д) в период с 1-го по 6-й месяц кредитного договора (соглашения) получатель субсидии не требует осуществления заемщиком оплаты основного долга, а также платежей процентов по кредитному договору (соглашению). Заемщик вправе вернуть всю сумму кредита или его часть в любую дату в течение действия кредитного договора (соглашения);";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lastRenderedPageBreak/>
        <w:t xml:space="preserve">г) в </w:t>
      </w:r>
      <w:hyperlink r:id="rId16" w:history="1">
        <w:r>
          <w:rPr>
            <w:color w:val="0000FF"/>
          </w:rPr>
          <w:t>подпункте "ж"</w:t>
        </w:r>
      </w:hyperlink>
      <w:r>
        <w:t xml:space="preserve"> слова "12-й месяц" заменить словами "18-й месяц".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5. </w:t>
      </w:r>
      <w:hyperlink r:id="rId17" w:history="1">
        <w:r>
          <w:rPr>
            <w:color w:val="0000FF"/>
          </w:rPr>
          <w:t>Дополнить</w:t>
        </w:r>
      </w:hyperlink>
      <w:r>
        <w:t xml:space="preserve"> пунктом 10(1) следующего содержания: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"10(1). Субсидия получателю субсидии по кредитному договору (соглашению), заключенному в период с 1 ноября по 30 декабря 2021 г., предоставляется при соблюдении следующих условий: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а) заемщик получателя субсидии должен соответствовать одному из следующих условий: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заемщик, являющийся субъектом малого или среднего предпринимательства, заключил кредитный договор (соглашение) в рамках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деятельности", по данным информационного сервиса Федеральной налоговой службы, и осуществляет деятельность в одной или нескольких отраслях по перечню отраслей российской экономики, требующих поддержки для восстановления предпринимательской деятельности, согласно приложению N 3;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заемщик, являющийся субъектом малого или среднего предпринимательства, создан и включен в единый реестр субъектов малого и среднего предпринимательства после 1 июля 2020 г. и осуществляет деятельность в одной или нескольких отраслях по перечню отраслей российской экономики, требующих поддержки для восстановления предпринимательской деятельности, предусмотренных приложением N 3 к настоящим Правилам;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заемщик получателя субсидии, включенный на дату заключения кредитного договора (соглашения) в реестр социально ориентированных некоммерческих организаций в соответствии с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23 июня 2020 г. N 906 "О реестре социально ориентированных некоммерческих организаций" и (или) реестр некоммерческих организаций, в наибольшей степени пострадавших в условиях ухудшения ситуации в результате распространения новой </w:t>
      </w:r>
      <w:proofErr w:type="spellStart"/>
      <w:r>
        <w:t>коронавирусной</w:t>
      </w:r>
      <w:proofErr w:type="spellEnd"/>
      <w:r>
        <w:t xml:space="preserve"> инфекции, в соответствии с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11 июня 2020 г. N 847 "О реестре некоммерческих организаций, в наибольшей степени пострадавших в условиях ухудшения ситуации в результате распространения новой </w:t>
      </w:r>
      <w:proofErr w:type="spellStart"/>
      <w:r>
        <w:t>коронавирусной</w:t>
      </w:r>
      <w:proofErr w:type="spellEnd"/>
      <w:r>
        <w:t xml:space="preserve"> инфекции", заключил кредитный договор (соглашение) в рамках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деятельности", по данным информационного сервиса Федеральной налоговой службы;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заемщик получателя субсидии, не указанный в абзацах втором - пятом настоящего подпункта, заключил кредитный договор (соглашение) в рамках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деятельности", по данным информационного сервиса Федеральной налоговой службы, а также им осуществляется деятельность по одному или нескольким кодам Общероссийского </w:t>
      </w:r>
      <w:hyperlink r:id="rId23" w:history="1">
        <w:r>
          <w:rPr>
            <w:color w:val="0000FF"/>
          </w:rPr>
          <w:t>классификатора</w:t>
        </w:r>
      </w:hyperlink>
      <w:r>
        <w:t xml:space="preserve"> видов экономи</w:t>
      </w:r>
      <w:bookmarkStart w:id="1" w:name="_GoBack"/>
      <w:bookmarkEnd w:id="1"/>
      <w:r>
        <w:t>ческой деятельности (ОК 029-</w:t>
      </w:r>
      <w:r>
        <w:lastRenderedPageBreak/>
        <w:t xml:space="preserve">2014 (КДЕС Ред. 2) - </w:t>
      </w:r>
      <w:hyperlink r:id="rId24" w:history="1">
        <w:r>
          <w:rPr>
            <w:color w:val="0000FF"/>
          </w:rPr>
          <w:t>56</w:t>
        </w:r>
      </w:hyperlink>
      <w:r>
        <w:t xml:space="preserve"> "Деятельность по предоставлению продуктов питания и напитков", </w:t>
      </w:r>
      <w:hyperlink r:id="rId25" w:history="1">
        <w:r>
          <w:rPr>
            <w:color w:val="0000FF"/>
          </w:rPr>
          <w:t>59.14</w:t>
        </w:r>
      </w:hyperlink>
      <w:r>
        <w:t xml:space="preserve"> "Деятельность в области демонстрации кинофильмов", </w:t>
      </w:r>
      <w:hyperlink r:id="rId26" w:history="1">
        <w:r>
          <w:rPr>
            <w:color w:val="0000FF"/>
          </w:rPr>
          <w:t>90</w:t>
        </w:r>
      </w:hyperlink>
      <w:r>
        <w:t xml:space="preserve"> "Деятельность творческая, деятельность в области искусства и организации развлечений", </w:t>
      </w:r>
      <w:hyperlink r:id="rId27" w:history="1">
        <w:r>
          <w:rPr>
            <w:color w:val="0000FF"/>
          </w:rPr>
          <w:t>91.02</w:t>
        </w:r>
      </w:hyperlink>
      <w:r>
        <w:t xml:space="preserve"> "Деятельность музеев", </w:t>
      </w:r>
      <w:hyperlink r:id="rId28" w:history="1">
        <w:r>
          <w:rPr>
            <w:color w:val="0000FF"/>
          </w:rPr>
          <w:t>91.04.1</w:t>
        </w:r>
      </w:hyperlink>
      <w:r>
        <w:t xml:space="preserve"> "Деятельность зоопарков", </w:t>
      </w:r>
      <w:hyperlink r:id="rId29" w:history="1">
        <w:r>
          <w:rPr>
            <w:color w:val="0000FF"/>
          </w:rPr>
          <w:t>93</w:t>
        </w:r>
      </w:hyperlink>
      <w:r>
        <w:t xml:space="preserve"> "Деятельность в области спорта, отдыха и развлечений";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б) в отношении заемщика на дату заключения кредитного договора (соглашения) не введена процедура банкротства, деятельность заемщика не приостановлена в порядке, предусмотренном законодательством Российской Федерации, а заемщиком - индивидуальным предпринимателем не прекращена деятельность в качестве индивидуального предпринимателя;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в) получателем субсидии с заемщиком заключен кредитный договор (соглашение) с конечной ставкой для заемщика 3 процента годовых;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г) в период с 1-го по 6-й месяц кредитного договора (соглашения) получатель субсидии не требует осуществления заемщиком оплаты основного долга, а также платежей процентов по кредитному договору (соглашению);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д) начисляемые в течение первых 6 месяцев проценты по кредитному договору (соглашению) переносятся в основной долг по кредитному договору (соглашению) по истечении первых 6 месяцев действия кредитного договора (соглашения);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е) в период с 7-го по 18-й месяц кредитного договора (соглашения) заемщиком осуществляется оплата основного долга равными долями, включая перенесенные платежи процентов по кредитному договору (соглашению), а также платежи процентов по кредитному договору (соглашению);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ж) кредитный договор (соглашение) не предусматривает взимания с заемщика комиссий, сборов и иных платежей, за исключением штрафных санкций, в случае неисполнения заемщиком условий кредитного договора (соглашения);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з) в течение периода действия кредитного договора (соглашения) отсутствуют выплаты дивидендов организациями, образующими группу компаний с заемщиком по основаниям, предусмотренным </w:t>
      </w:r>
      <w:hyperlink r:id="rId30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и) в течение периода действия кредитного договора (соглашения) не осуществляется выкуп собственных акций или долей в уставном капитале заемщика, включая выкуп собственных акций или долей в уставном капитале организациями, образующими группу компаний с заемщиком по основаниям, предусмотренным </w:t>
      </w:r>
      <w:hyperlink r:id="rId31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к) численность работников заемщика, размещаемая по итогам каждого отчетного периода в течение действия кредитного договора (соглашения) в информационном сервисе Федеральной налоговой службы в порядке, предусмотренном пунктом 24 настоящих Правил, должна составлять не менее 90 процентов численности работников заемщика, примененной для определения максимального размера кредитного договора (соглашения) и указанной в кредитном договоре (соглашении).".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6. </w:t>
      </w:r>
      <w:hyperlink r:id="rId32" w:history="1">
        <w:r>
          <w:rPr>
            <w:color w:val="0000FF"/>
          </w:rPr>
          <w:t>Пункт 11</w:t>
        </w:r>
      </w:hyperlink>
      <w:r>
        <w:t xml:space="preserve"> изложить в следующей редакции: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"11. В целях настоящих Правил: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lastRenderedPageBreak/>
        <w:t>заемщик, являющийся субъектом малого или среднего предпринимательства и относящийся к категории "малое предприятие" или "</w:t>
      </w:r>
      <w:proofErr w:type="spellStart"/>
      <w:r>
        <w:t>микропредприятие</w:t>
      </w:r>
      <w:proofErr w:type="spellEnd"/>
      <w:r>
        <w:t>", определяется по основному или дополнительным видам экономической деятельности, информация о которых содержится в Едином государственном реестре юридических лиц либо Едином государственном реестре индивидуальных предпринимателей по состоянию на 1 января 2021 г. - в случае заключения кредитного договора (соглашения) в период с 9 марта по 1 июля 2021 г. или по состоянию на 1 июля 2021 г. - в случае заключения кредитного договора (соглашения) в период с 1 ноября по 30 декабря 2021 г.;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заемщик, за исключением заемщиков, указанных в абзаце втором настоящего пункта, определяется по основному виду экономической деятельности, информация о котором содержится в Едином государственном реестре юридических лиц либо Едином государственном реестре индивидуальных предпринимателей по состоянию на 1 января 2021 г. - в случае заключения кредитного договора (соглашения) в период с 9 марта по 1 июля 2021 г. или по состоянию на 1 июля 2021 г. - в случае заключения кредитного договора (соглашения) в период с 1 ноября по 30 декабря 2021 г.;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заемщик, образующий по основаниям, предусмотренным </w:t>
      </w:r>
      <w:hyperlink r:id="rId33" w:history="1">
        <w:r>
          <w:rPr>
            <w:color w:val="0000FF"/>
          </w:rPr>
          <w:t>пунктом 1 статьи 9</w:t>
        </w:r>
      </w:hyperlink>
      <w:r>
        <w:t xml:space="preserve"> Федерального закона "О защите конкуренции", совместно с другими организациями группу компаний, выручка которого по данным последней доступной отчетности в составе группы составляет более 30 процентов, определяется по основному виду экономической деятельности, информация о котором содержится в Едином государственном реестре юридических лиц либо Едином государственном реестре индивидуальных предпринимателей по состоянию на 1 января 2021 г. - в случае заключения кредитного договора (соглашения) в период с 9 марта по 1 июля 2021 г. или по состоянию на 1 июля 2021 г. - в случае заключения кредитного договора (соглашения) в период с 1 ноября по 30 декабря 2021 г.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Ответственность за подтверждение выполнения условий, предусмотренных абзацем четвертым настоящего пункта, несет получатель субсидии.".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7. </w:t>
      </w:r>
      <w:hyperlink r:id="rId34" w:history="1">
        <w:r>
          <w:rPr>
            <w:color w:val="0000FF"/>
          </w:rPr>
          <w:t>Абзац первый пункта 24</w:t>
        </w:r>
      </w:hyperlink>
      <w:r>
        <w:t xml:space="preserve"> дополнить словами "- в случае заключения кредитного договора (соглашения) в период с 9 марта по 1 июля 2021 г. и не превышает 300 млн. рублей - в случае заключения кредитного договора (соглашения) в период с 1 ноября по 30 декабря 2021 г.".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8. </w:t>
      </w:r>
      <w:hyperlink r:id="rId35" w:history="1">
        <w:r>
          <w:rPr>
            <w:color w:val="0000FF"/>
          </w:rPr>
          <w:t>Пункт 25</w:t>
        </w:r>
      </w:hyperlink>
      <w:r>
        <w:t xml:space="preserve"> изложить в следующей редакции: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"25. Ежемесячное перечисление субсидии получателям субсидии осуществляется в размере, рассчитанном как произведение суммы среднемесячного остатка ссудной задолженности заемщиков по каждому кредитному договору (соглашению) за отчетный месяц, заключенному с получателем субсидии в соответствии с требованиями настоящих Правил, и ставки субсидирования, определяемой в соответствии с настоящим пунктом, деленное на количество дней в текущем финансовом году и умноженное на количество дней в отчетном месяце.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Для целей настоящих Правил применяются следующие ставки субсидирования: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6 процентов годовых в течение 12 месяцев действия кредитного договора (соглашения), заключенного с заемщиком в период с 9 марта по 1 июля 2021 г.;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7,75 процента годовых в период с 13-го по 18-й месяцы действия кредитного договора </w:t>
      </w:r>
      <w:r>
        <w:lastRenderedPageBreak/>
        <w:t>(соглашения), заключенного с заемщиком в период с 9 марта по 1 июля 2021 г., а также в период с 1-го по 18-й месяцы действия кредитного договора (соглашения), заключенного с заемщиком в период с 1 ноября по 30 декабря 2021 г., за исключением кредитных договоров (соглашений), заключенных с заемщиками, являющимися субъектами малого или среднего предпринимательства и относящимися к категории "</w:t>
      </w:r>
      <w:proofErr w:type="spellStart"/>
      <w:r>
        <w:t>микропредприятие</w:t>
      </w:r>
      <w:proofErr w:type="spellEnd"/>
      <w:r>
        <w:t>";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8 процентов годовых в период с 13-го по 18-й месяцы действия кредитного договора (соглашения), заключенного в период с 9 марта по 1 июля 2021 г. с заемщиком, являющимся субъектом малого или среднего предпринимательства и относящимся к категории "</w:t>
      </w:r>
      <w:proofErr w:type="spellStart"/>
      <w:r>
        <w:t>микропредприятие</w:t>
      </w:r>
      <w:proofErr w:type="spellEnd"/>
      <w:r>
        <w:t>", а также в период с 1-го по 18-й месяцы действия кредитного договора (соглашения), заключенного в период с 1 ноября по 30 декабря 2021 г. с заемщиком, являющимся субъектом малого или среднего предпринимательства и относящимся к категории "</w:t>
      </w:r>
      <w:proofErr w:type="spellStart"/>
      <w:r>
        <w:t>микропредприятие</w:t>
      </w:r>
      <w:proofErr w:type="spellEnd"/>
      <w:r>
        <w:t>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Среднемесячный остаток ссудной задолженности заемщика по кредитному договору (соглашению) за отчетный месяц (СДО) определяется по следующей формуле:</w:t>
      </w:r>
    </w:p>
    <w:p w:rsidR="00CE0AC4" w:rsidRDefault="00CE0AC4">
      <w:pPr>
        <w:pStyle w:val="ConsPlusNormal"/>
        <w:jc w:val="both"/>
      </w:pPr>
    </w:p>
    <w:p w:rsidR="00CE0AC4" w:rsidRDefault="00244D70">
      <w:pPr>
        <w:pStyle w:val="ConsPlusNormal"/>
        <w:jc w:val="center"/>
      </w:pPr>
      <w:r>
        <w:rPr>
          <w:noProof/>
          <w:position w:val="-12"/>
        </w:rPr>
        <w:drawing>
          <wp:inline distT="0" distB="0" distL="0" distR="0">
            <wp:extent cx="1282700" cy="31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ind w:firstLine="540"/>
        <w:jc w:val="both"/>
      </w:pPr>
      <w:r>
        <w:t>где:</w:t>
      </w:r>
    </w:p>
    <w:p w:rsidR="00CE0AC4" w:rsidRDefault="00C54525">
      <w:pPr>
        <w:pStyle w:val="ConsPlusNormal"/>
        <w:spacing w:before="240"/>
        <w:ind w:firstLine="540"/>
        <w:jc w:val="both"/>
      </w:pPr>
      <w:proofErr w:type="spellStart"/>
      <w:r>
        <w:t>О</w:t>
      </w:r>
      <w:r>
        <w:rPr>
          <w:vertAlign w:val="subscript"/>
        </w:rPr>
        <w:t>i</w:t>
      </w:r>
      <w:proofErr w:type="spellEnd"/>
      <w:r>
        <w:t xml:space="preserve"> - остаток ссудной задолженности заемщика по кредитному договору (соглашению) на конец i-</w:t>
      </w:r>
      <w:proofErr w:type="spellStart"/>
      <w:r>
        <w:t>го</w:t>
      </w:r>
      <w:proofErr w:type="spellEnd"/>
      <w:r>
        <w:t xml:space="preserve"> дня в отчетном месяце;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n - количество дней в отчетном месяце.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Ответственность за недостоверность используемых для расчета размера субсидии данных и соответствие расчета размера субсидии порядку расчета, предусмотренному настоящим пунктом, несет получатель субсидии.".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9. </w:t>
      </w:r>
      <w:hyperlink r:id="rId37" w:history="1">
        <w:r>
          <w:rPr>
            <w:color w:val="0000FF"/>
          </w:rPr>
          <w:t>Пункт 28</w:t>
        </w:r>
      </w:hyperlink>
      <w:r>
        <w:t xml:space="preserve"> изложить в следующей редакции: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>"28. Результатом предоставления субсидии является объем предоставленных кредитов юридическим лицам и индивидуальным предпринимателям на восстановление предпринимательской деятельности.".</w:t>
      </w:r>
    </w:p>
    <w:p w:rsidR="00CE0AC4" w:rsidRDefault="00C54525">
      <w:pPr>
        <w:pStyle w:val="ConsPlusNormal"/>
        <w:spacing w:before="240"/>
        <w:ind w:firstLine="540"/>
        <w:jc w:val="both"/>
      </w:pPr>
      <w:r>
        <w:t xml:space="preserve">10. </w:t>
      </w:r>
      <w:hyperlink r:id="rId38" w:history="1">
        <w:r>
          <w:rPr>
            <w:color w:val="0000FF"/>
          </w:rPr>
          <w:t>Приложение N 3</w:t>
        </w:r>
      </w:hyperlink>
      <w:r>
        <w:t xml:space="preserve"> к указанным Правилам изложить в следующей редакции:</w:t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jc w:val="right"/>
      </w:pPr>
      <w:r>
        <w:t>"Приложение N 3</w:t>
      </w:r>
    </w:p>
    <w:p w:rsidR="00CE0AC4" w:rsidRDefault="00C54525">
      <w:pPr>
        <w:pStyle w:val="ConsPlusNormal"/>
        <w:jc w:val="right"/>
      </w:pPr>
      <w:r>
        <w:t>к Правилам предоставления субсидий</w:t>
      </w:r>
    </w:p>
    <w:p w:rsidR="00CE0AC4" w:rsidRDefault="00C54525">
      <w:pPr>
        <w:pStyle w:val="ConsPlusNormal"/>
        <w:jc w:val="right"/>
      </w:pPr>
      <w:r>
        <w:t>из федерального бюджета российским</w:t>
      </w:r>
    </w:p>
    <w:p w:rsidR="00CE0AC4" w:rsidRDefault="00C54525">
      <w:pPr>
        <w:pStyle w:val="ConsPlusNormal"/>
        <w:jc w:val="right"/>
      </w:pPr>
      <w:r>
        <w:t>кредитным организациям на возмещение</w:t>
      </w:r>
    </w:p>
    <w:p w:rsidR="00CE0AC4" w:rsidRDefault="00C54525">
      <w:pPr>
        <w:pStyle w:val="ConsPlusNormal"/>
        <w:jc w:val="right"/>
      </w:pPr>
      <w:r>
        <w:t>недополученных ими доходов по кредитам,</w:t>
      </w:r>
    </w:p>
    <w:p w:rsidR="00CE0AC4" w:rsidRDefault="00C54525">
      <w:pPr>
        <w:pStyle w:val="ConsPlusNormal"/>
        <w:jc w:val="right"/>
      </w:pPr>
      <w:r>
        <w:t>выданным в 2021 году юридическим лицам</w:t>
      </w:r>
    </w:p>
    <w:p w:rsidR="00CE0AC4" w:rsidRDefault="00C54525">
      <w:pPr>
        <w:pStyle w:val="ConsPlusNormal"/>
        <w:jc w:val="right"/>
      </w:pPr>
      <w:r>
        <w:t>и индивидуальным предпринимателям</w:t>
      </w:r>
    </w:p>
    <w:p w:rsidR="00CE0AC4" w:rsidRDefault="00C54525">
      <w:pPr>
        <w:pStyle w:val="ConsPlusNormal"/>
        <w:jc w:val="right"/>
      </w:pPr>
      <w:r>
        <w:t>на восстановление предпринимательской</w:t>
      </w:r>
    </w:p>
    <w:p w:rsidR="00CE0AC4" w:rsidRDefault="00C54525">
      <w:pPr>
        <w:pStyle w:val="ConsPlusNormal"/>
        <w:jc w:val="right"/>
      </w:pPr>
      <w:r>
        <w:t>деятельности</w:t>
      </w:r>
    </w:p>
    <w:p w:rsidR="00CE0AC4" w:rsidRDefault="00C54525">
      <w:pPr>
        <w:pStyle w:val="ConsPlusNormal"/>
        <w:jc w:val="right"/>
      </w:pPr>
      <w:r>
        <w:lastRenderedPageBreak/>
        <w:t>(в редакции постановления</w:t>
      </w:r>
    </w:p>
    <w:p w:rsidR="00CE0AC4" w:rsidRDefault="00C54525">
      <w:pPr>
        <w:pStyle w:val="ConsPlusNormal"/>
        <w:jc w:val="right"/>
      </w:pPr>
      <w:r>
        <w:t>Правительства Российской Федерации</w:t>
      </w:r>
    </w:p>
    <w:p w:rsidR="00CE0AC4" w:rsidRDefault="00C54525">
      <w:pPr>
        <w:pStyle w:val="ConsPlusNormal"/>
        <w:jc w:val="right"/>
      </w:pPr>
      <w:r>
        <w:t>от 28 октября 2021 г. N 1850)</w:t>
      </w:r>
    </w:p>
    <w:p w:rsidR="00CE0AC4" w:rsidRDefault="00CE0AC4">
      <w:pPr>
        <w:pStyle w:val="ConsPlusNormal"/>
        <w:jc w:val="both"/>
      </w:pPr>
    </w:p>
    <w:p w:rsidR="00CE0AC4" w:rsidRDefault="00C54525">
      <w:pPr>
        <w:pStyle w:val="ConsPlusNormal"/>
        <w:jc w:val="center"/>
      </w:pPr>
      <w:r>
        <w:t>ПЕРЕЧЕНЬ</w:t>
      </w:r>
    </w:p>
    <w:p w:rsidR="00CE0AC4" w:rsidRDefault="00C54525">
      <w:pPr>
        <w:pStyle w:val="ConsPlusNormal"/>
        <w:jc w:val="center"/>
      </w:pPr>
      <w:r>
        <w:t>ОТРАСЛЕЙ РОССИЙСКОЙ ЭКОНОМИКИ, ТРЕБУЮЩИХ ПОДДЕРЖКИ</w:t>
      </w:r>
    </w:p>
    <w:p w:rsidR="00CE0AC4" w:rsidRDefault="00C54525">
      <w:pPr>
        <w:pStyle w:val="ConsPlusNormal"/>
        <w:jc w:val="center"/>
      </w:pPr>
      <w:r>
        <w:t>ДЛЯ ВОССТАНОВЛЕНИЯ ПРЕДПРИНИМАТЕЛЬСКОЙ ДЕЯТЕЛЬНОСТИ</w:t>
      </w:r>
    </w:p>
    <w:p w:rsidR="00CE0AC4" w:rsidRDefault="00CE0AC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86"/>
        <w:gridCol w:w="1859"/>
      </w:tblGrid>
      <w:tr w:rsidR="00CE0AC4">
        <w:tc>
          <w:tcPr>
            <w:tcW w:w="71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AC4" w:rsidRDefault="00C54525">
            <w:pPr>
              <w:pStyle w:val="ConsPlusNormal"/>
              <w:jc w:val="center"/>
            </w:pPr>
            <w:r>
              <w:t>Сфера деятельности, наименование вида экономической деятельности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0AC4" w:rsidRDefault="00C54525">
            <w:pPr>
              <w:pStyle w:val="ConsPlusNormal"/>
              <w:jc w:val="center"/>
            </w:pPr>
            <w:r>
              <w:t xml:space="preserve">Код </w:t>
            </w:r>
            <w:hyperlink r:id="rId39" w:history="1">
              <w:r>
                <w:rPr>
                  <w:color w:val="0000FF"/>
                </w:rPr>
                <w:t>ОКВЭД 2</w:t>
              </w:r>
            </w:hyperlink>
          </w:p>
        </w:tc>
      </w:tr>
      <w:tr w:rsidR="00CE0AC4">
        <w:tc>
          <w:tcPr>
            <w:tcW w:w="7186" w:type="dxa"/>
            <w:tcBorders>
              <w:top w:val="single" w:sz="4" w:space="0" w:color="auto"/>
            </w:tcBorders>
          </w:tcPr>
          <w:p w:rsidR="00CE0AC4" w:rsidRDefault="00C54525">
            <w:pPr>
              <w:pStyle w:val="ConsPlusNormal"/>
            </w:pPr>
            <w:r>
              <w:t>Гостиничный бизнес</w:t>
            </w:r>
          </w:p>
        </w:tc>
        <w:tc>
          <w:tcPr>
            <w:tcW w:w="1859" w:type="dxa"/>
            <w:tcBorders>
              <w:top w:val="single" w:sz="4" w:space="0" w:color="auto"/>
            </w:tcBorders>
          </w:tcPr>
          <w:p w:rsidR="00CE0AC4" w:rsidRDefault="004E1793">
            <w:pPr>
              <w:pStyle w:val="ConsPlusNormal"/>
              <w:jc w:val="center"/>
            </w:pPr>
            <w:hyperlink r:id="rId40" w:history="1">
              <w:r w:rsidR="00C54525">
                <w:rPr>
                  <w:color w:val="0000FF"/>
                </w:rPr>
                <w:t>55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по предоставлению продуктов питания и напитков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1" w:history="1">
              <w:r w:rsidR="00C54525">
                <w:rPr>
                  <w:color w:val="0000FF"/>
                </w:rPr>
                <w:t>56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в области демонстрации кинофильмов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2" w:history="1">
              <w:r w:rsidR="00C54525">
                <w:rPr>
                  <w:color w:val="0000FF"/>
                </w:rPr>
                <w:t>59.14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туристических агентств и прочих организаций, предоставляющих услуги в сфере туризма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3" w:history="1">
              <w:r w:rsidR="00C54525">
                <w:rPr>
                  <w:color w:val="0000FF"/>
                </w:rPr>
                <w:t>79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по организации конференций и выставок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4" w:history="1">
              <w:r w:rsidR="00C54525">
                <w:rPr>
                  <w:color w:val="0000FF"/>
                </w:rPr>
                <w:t>82.3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Образование дополнительное детей и взрослых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5" w:history="1">
              <w:r w:rsidR="00C54525">
                <w:rPr>
                  <w:color w:val="0000FF"/>
                </w:rPr>
                <w:t>85.41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Стоматологическая практика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6" w:history="1">
              <w:r w:rsidR="00C54525">
                <w:rPr>
                  <w:color w:val="0000FF"/>
                </w:rPr>
                <w:t>86.23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санаторно-курортных организаций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7" w:history="1">
              <w:r w:rsidR="00C54525">
                <w:rPr>
                  <w:color w:val="0000FF"/>
                </w:rPr>
                <w:t>86.90.4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Предоставление услуг по дневному уходу за детьми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8" w:history="1">
              <w:r w:rsidR="00C54525">
                <w:rPr>
                  <w:color w:val="0000FF"/>
                </w:rPr>
                <w:t>88.91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творческая, деятельность в области искусства и организации развлечений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49" w:history="1">
              <w:r w:rsidR="00C54525">
                <w:rPr>
                  <w:color w:val="0000FF"/>
                </w:rPr>
                <w:t>90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музеев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50" w:history="1">
              <w:r w:rsidR="00C54525">
                <w:rPr>
                  <w:color w:val="0000FF"/>
                </w:rPr>
                <w:t>91.02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зоопарков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51" w:history="1">
              <w:r w:rsidR="00C54525">
                <w:rPr>
                  <w:color w:val="0000FF"/>
                </w:rPr>
                <w:t>91.04.1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Деятельность в области спорта, отдыха и развлечений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52" w:history="1">
              <w:r w:rsidR="00C54525">
                <w:rPr>
                  <w:color w:val="0000FF"/>
                </w:rPr>
                <w:t>93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Ремонт компьютеров, предметов личного потребления и хозяйственно-бытового назначения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53" w:history="1">
              <w:r w:rsidR="00C54525">
                <w:rPr>
                  <w:color w:val="0000FF"/>
                </w:rPr>
                <w:t>95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Стирка и химическая чистка текстильных и меховых изделий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54" w:history="1">
              <w:r w:rsidR="00C54525">
                <w:rPr>
                  <w:color w:val="0000FF"/>
                </w:rPr>
                <w:t>96.01</w:t>
              </w:r>
            </w:hyperlink>
          </w:p>
        </w:tc>
      </w:tr>
      <w:tr w:rsidR="00CE0AC4">
        <w:tc>
          <w:tcPr>
            <w:tcW w:w="7186" w:type="dxa"/>
          </w:tcPr>
          <w:p w:rsidR="00CE0AC4" w:rsidRDefault="00C54525">
            <w:pPr>
              <w:pStyle w:val="ConsPlusNormal"/>
            </w:pPr>
            <w:r>
              <w:t>Предоставление услуг парикмахерскими и салонами красоты</w:t>
            </w:r>
          </w:p>
        </w:tc>
        <w:tc>
          <w:tcPr>
            <w:tcW w:w="1859" w:type="dxa"/>
          </w:tcPr>
          <w:p w:rsidR="00CE0AC4" w:rsidRDefault="004E1793">
            <w:pPr>
              <w:pStyle w:val="ConsPlusNormal"/>
              <w:jc w:val="center"/>
            </w:pPr>
            <w:hyperlink r:id="rId55" w:history="1">
              <w:r w:rsidR="00C54525">
                <w:rPr>
                  <w:color w:val="0000FF"/>
                </w:rPr>
                <w:t>96.02</w:t>
              </w:r>
            </w:hyperlink>
          </w:p>
        </w:tc>
      </w:tr>
      <w:tr w:rsidR="00CE0AC4">
        <w:tc>
          <w:tcPr>
            <w:tcW w:w="7186" w:type="dxa"/>
            <w:tcBorders>
              <w:bottom w:val="single" w:sz="4" w:space="0" w:color="auto"/>
            </w:tcBorders>
          </w:tcPr>
          <w:p w:rsidR="00CE0AC4" w:rsidRDefault="00C54525">
            <w:pPr>
              <w:pStyle w:val="ConsPlusNormal"/>
            </w:pPr>
            <w:r>
              <w:t>Деятельность физкультурно-оздоровительная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:rsidR="00CE0AC4" w:rsidRDefault="004E1793">
            <w:pPr>
              <w:pStyle w:val="ConsPlusNormal"/>
              <w:jc w:val="center"/>
            </w:pPr>
            <w:hyperlink r:id="rId56" w:history="1">
              <w:r w:rsidR="00C54525">
                <w:rPr>
                  <w:color w:val="0000FF"/>
                </w:rPr>
                <w:t>96.04</w:t>
              </w:r>
            </w:hyperlink>
            <w:r w:rsidR="00C54525">
              <w:t>".</w:t>
            </w:r>
          </w:p>
        </w:tc>
      </w:tr>
    </w:tbl>
    <w:p w:rsidR="00CE0AC4" w:rsidRDefault="00CE0AC4">
      <w:pPr>
        <w:pStyle w:val="ConsPlusNormal"/>
        <w:jc w:val="both"/>
      </w:pPr>
    </w:p>
    <w:p w:rsidR="00CE0AC4" w:rsidRDefault="00CE0AC4">
      <w:pPr>
        <w:pStyle w:val="ConsPlusNormal"/>
        <w:jc w:val="both"/>
      </w:pPr>
    </w:p>
    <w:p w:rsidR="00C54525" w:rsidRDefault="00C5452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C54525">
      <w:headerReference w:type="default" r:id="rId57"/>
      <w:footerReference w:type="default" r:id="rId5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93" w:rsidRDefault="004E1793">
      <w:pPr>
        <w:spacing w:after="0" w:line="240" w:lineRule="auto"/>
      </w:pPr>
      <w:r>
        <w:separator/>
      </w:r>
    </w:p>
  </w:endnote>
  <w:endnote w:type="continuationSeparator" w:id="0">
    <w:p w:rsidR="004E1793" w:rsidRDefault="004E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AC4" w:rsidRDefault="00CE0AC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CE0AC4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E0AC4" w:rsidRDefault="00C54525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E0AC4" w:rsidRDefault="004E1793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C54525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E0AC4" w:rsidRDefault="00C54525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E44FB6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E44FB6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CE0AC4" w:rsidRDefault="00CE0AC4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93" w:rsidRDefault="004E1793">
      <w:pPr>
        <w:spacing w:after="0" w:line="240" w:lineRule="auto"/>
      </w:pPr>
      <w:r>
        <w:separator/>
      </w:r>
    </w:p>
  </w:footnote>
  <w:footnote w:type="continuationSeparator" w:id="0">
    <w:p w:rsidR="004E1793" w:rsidRDefault="004E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CE0AC4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E0AC4" w:rsidRDefault="00C54525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28.10.2021 N 1850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внесении изменений в Правила предоставления субсидий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федеральн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E0AC4" w:rsidRDefault="00C54525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CE0AC4" w:rsidRDefault="00CE0AC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CE0AC4" w:rsidRDefault="00C54525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9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70"/>
    <w:rsid w:val="00244D70"/>
    <w:rsid w:val="004E1793"/>
    <w:rsid w:val="00C54525"/>
    <w:rsid w:val="00CE0AC4"/>
    <w:rsid w:val="00E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0711384-84AC-42B0-A5D6-5EBD252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78079&amp;date=21.01.2022&amp;dst=100044&amp;field=134" TargetMode="External"/><Relationship Id="rId18" Type="http://schemas.openxmlformats.org/officeDocument/2006/relationships/hyperlink" Target="https://login.consultant.ru/link/?req=doc&amp;base=LAW&amp;n=369658&amp;date=21.01.2022" TargetMode="External"/><Relationship Id="rId26" Type="http://schemas.openxmlformats.org/officeDocument/2006/relationships/hyperlink" Target="https://login.consultant.ru/link/?req=doc&amp;base=LAW&amp;n=404604&amp;date=21.01.2022&amp;dst=105444&amp;field=134" TargetMode="External"/><Relationship Id="rId39" Type="http://schemas.openxmlformats.org/officeDocument/2006/relationships/hyperlink" Target="https://login.consultant.ru/link/?req=doc&amp;base=LAW&amp;n=404604&amp;date=21.01.2022" TargetMode="External"/><Relationship Id="rId21" Type="http://schemas.openxmlformats.org/officeDocument/2006/relationships/hyperlink" Target="https://login.consultant.ru/link/?req=doc&amp;base=LAW&amp;n=369658&amp;date=21.01.2022" TargetMode="External"/><Relationship Id="rId34" Type="http://schemas.openxmlformats.org/officeDocument/2006/relationships/hyperlink" Target="https://login.consultant.ru/link/?req=doc&amp;base=LAW&amp;n=378079&amp;date=21.01.2022&amp;dst=100106&amp;field=134" TargetMode="External"/><Relationship Id="rId42" Type="http://schemas.openxmlformats.org/officeDocument/2006/relationships/hyperlink" Target="https://login.consultant.ru/link/?req=doc&amp;base=LAW&amp;n=404604&amp;date=21.01.2022&amp;dst=104420&amp;field=134" TargetMode="External"/><Relationship Id="rId47" Type="http://schemas.openxmlformats.org/officeDocument/2006/relationships/hyperlink" Target="https://login.consultant.ru/link/?req=doc&amp;base=LAW&amp;n=404604&amp;date=21.01.2022&amp;dst=105405&amp;field=134" TargetMode="External"/><Relationship Id="rId50" Type="http://schemas.openxmlformats.org/officeDocument/2006/relationships/hyperlink" Target="https://login.consultant.ru/link/?req=doc&amp;base=LAW&amp;n=404604&amp;date=21.01.2022&amp;dst=105470&amp;field=134" TargetMode="External"/><Relationship Id="rId55" Type="http://schemas.openxmlformats.org/officeDocument/2006/relationships/hyperlink" Target="https://login.consultant.ru/link/?req=doc&amp;base=LAW&amp;n=404604&amp;date=21.01.2022&amp;dst=105599&amp;field=134" TargetMode="External"/><Relationship Id="rId7" Type="http://schemas.openxmlformats.org/officeDocument/2006/relationships/hyperlink" Target="https://login.consultant.ru/link/?req=doc&amp;base=LAW&amp;n=399623&amp;date=21.01.2022&amp;dst=100223&amp;field=134" TargetMode="External"/><Relationship Id="rId12" Type="http://schemas.openxmlformats.org/officeDocument/2006/relationships/hyperlink" Target="https://login.consultant.ru/link/?req=doc&amp;base=LAW&amp;n=378079&amp;date=21.01.2022&amp;dst=100044&amp;field=134" TargetMode="External"/><Relationship Id="rId17" Type="http://schemas.openxmlformats.org/officeDocument/2006/relationships/hyperlink" Target="https://login.consultant.ru/link/?req=doc&amp;base=LAW&amp;n=378079&amp;date=21.01.2022&amp;dst=100009&amp;field=134" TargetMode="External"/><Relationship Id="rId25" Type="http://schemas.openxmlformats.org/officeDocument/2006/relationships/hyperlink" Target="https://login.consultant.ru/link/?req=doc&amp;base=LAW&amp;n=404604&amp;date=21.01.2022&amp;dst=104420&amp;field=134" TargetMode="External"/><Relationship Id="rId33" Type="http://schemas.openxmlformats.org/officeDocument/2006/relationships/hyperlink" Target="https://login.consultant.ru/link/?req=doc&amp;base=LAW&amp;n=389971&amp;date=21.01.2022&amp;dst=289&amp;field=134" TargetMode="External"/><Relationship Id="rId38" Type="http://schemas.openxmlformats.org/officeDocument/2006/relationships/hyperlink" Target="https://login.consultant.ru/link/?req=doc&amp;base=LAW&amp;n=378079&amp;date=21.01.2022&amp;dst=100169&amp;field=134" TargetMode="External"/><Relationship Id="rId46" Type="http://schemas.openxmlformats.org/officeDocument/2006/relationships/hyperlink" Target="https://login.consultant.ru/link/?req=doc&amp;base=LAW&amp;n=404604&amp;date=21.01.2022&amp;dst=105393&amp;field=134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78079&amp;date=21.01.2022&amp;dst=100051&amp;field=134" TargetMode="External"/><Relationship Id="rId20" Type="http://schemas.openxmlformats.org/officeDocument/2006/relationships/hyperlink" Target="https://login.consultant.ru/link/?req=doc&amp;base=LAW&amp;n=356139&amp;date=21.01.2022" TargetMode="External"/><Relationship Id="rId29" Type="http://schemas.openxmlformats.org/officeDocument/2006/relationships/hyperlink" Target="https://login.consultant.ru/link/?req=doc&amp;base=LAW&amp;n=404604&amp;date=21.01.2022&amp;dst=105507&amp;field=134" TargetMode="External"/><Relationship Id="rId41" Type="http://schemas.openxmlformats.org/officeDocument/2006/relationships/hyperlink" Target="https://login.consultant.ru/link/?req=doc&amp;base=LAW&amp;n=404604&amp;date=21.01.2022&amp;dst=104326&amp;field=134" TargetMode="External"/><Relationship Id="rId54" Type="http://schemas.openxmlformats.org/officeDocument/2006/relationships/hyperlink" Target="https://login.consultant.ru/link/?req=doc&amp;base=LAW&amp;n=404604&amp;date=21.01.2022&amp;dst=105863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78079&amp;date=21.01.2022&amp;dst=100009&amp;field=134" TargetMode="External"/><Relationship Id="rId11" Type="http://schemas.openxmlformats.org/officeDocument/2006/relationships/hyperlink" Target="https://login.consultant.ru/link/?req=doc&amp;base=LAW&amp;n=378079&amp;date=21.01.2022&amp;dst=100043&amp;field=134" TargetMode="External"/><Relationship Id="rId24" Type="http://schemas.openxmlformats.org/officeDocument/2006/relationships/hyperlink" Target="https://login.consultant.ru/link/?req=doc&amp;base=LAW&amp;n=404604&amp;date=21.01.2022&amp;dst=104326&amp;field=134" TargetMode="External"/><Relationship Id="rId32" Type="http://schemas.openxmlformats.org/officeDocument/2006/relationships/hyperlink" Target="https://login.consultant.ru/link/?req=doc&amp;base=LAW&amp;n=378079&amp;date=21.01.2022&amp;dst=100056&amp;field=134" TargetMode="External"/><Relationship Id="rId37" Type="http://schemas.openxmlformats.org/officeDocument/2006/relationships/hyperlink" Target="https://login.consultant.ru/link/?req=doc&amp;base=LAW&amp;n=378079&amp;date=21.01.2022&amp;dst=100119&amp;field=134" TargetMode="External"/><Relationship Id="rId40" Type="http://schemas.openxmlformats.org/officeDocument/2006/relationships/hyperlink" Target="https://login.consultant.ru/link/?req=doc&amp;base=LAW&amp;n=404604&amp;date=21.01.2022&amp;dst=104307&amp;field=134" TargetMode="External"/><Relationship Id="rId45" Type="http://schemas.openxmlformats.org/officeDocument/2006/relationships/hyperlink" Target="https://login.consultant.ru/link/?req=doc&amp;base=LAW&amp;n=404604&amp;date=21.01.2022&amp;dst=105361&amp;field=134" TargetMode="External"/><Relationship Id="rId53" Type="http://schemas.openxmlformats.org/officeDocument/2006/relationships/hyperlink" Target="https://login.consultant.ru/link/?req=doc&amp;base=LAW&amp;n=404604&amp;date=21.01.2022&amp;dst=105555&amp;field=134" TargetMode="External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78079&amp;date=21.01.2022&amp;dst=100049&amp;field=134" TargetMode="External"/><Relationship Id="rId23" Type="http://schemas.openxmlformats.org/officeDocument/2006/relationships/hyperlink" Target="https://login.consultant.ru/link/?req=doc&amp;base=LAW&amp;n=404604&amp;date=21.01.2022" TargetMode="External"/><Relationship Id="rId28" Type="http://schemas.openxmlformats.org/officeDocument/2006/relationships/hyperlink" Target="https://login.consultant.ru/link/?req=doc&amp;base=LAW&amp;n=404604&amp;date=21.01.2022&amp;dst=105476&amp;field=134" TargetMode="External"/><Relationship Id="rId36" Type="http://schemas.openxmlformats.org/officeDocument/2006/relationships/image" Target="media/image1.wmf"/><Relationship Id="rId49" Type="http://schemas.openxmlformats.org/officeDocument/2006/relationships/hyperlink" Target="https://login.consultant.ru/link/?req=doc&amp;base=LAW&amp;n=404604&amp;date=21.01.2022&amp;dst=105444&amp;field=134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login.consultant.ru/link/?req=doc&amp;base=LAW&amp;n=378079&amp;date=21.01.2022&amp;dst=100017&amp;field=134" TargetMode="External"/><Relationship Id="rId19" Type="http://schemas.openxmlformats.org/officeDocument/2006/relationships/hyperlink" Target="https://login.consultant.ru/link/?req=doc&amp;base=LAW&amp;n=355802&amp;date=21.01.2022" TargetMode="External"/><Relationship Id="rId31" Type="http://schemas.openxmlformats.org/officeDocument/2006/relationships/hyperlink" Target="https://login.consultant.ru/link/?req=doc&amp;base=LAW&amp;n=389971&amp;date=21.01.2022&amp;dst=289&amp;field=134" TargetMode="External"/><Relationship Id="rId44" Type="http://schemas.openxmlformats.org/officeDocument/2006/relationships/hyperlink" Target="https://login.consultant.ru/link/?req=doc&amp;base=LAW&amp;n=404604&amp;date=21.01.2022&amp;dst=105198&amp;field=134" TargetMode="External"/><Relationship Id="rId52" Type="http://schemas.openxmlformats.org/officeDocument/2006/relationships/hyperlink" Target="https://login.consultant.ru/link/?req=doc&amp;base=LAW&amp;n=404604&amp;date=21.01.2022&amp;dst=105507&amp;field=134" TargetMode="Externa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78079&amp;date=21.01.2022&amp;dst=100012&amp;field=134" TargetMode="External"/><Relationship Id="rId14" Type="http://schemas.openxmlformats.org/officeDocument/2006/relationships/hyperlink" Target="https://login.consultant.ru/link/?req=doc&amp;base=LAW&amp;n=378079&amp;date=21.01.2022&amp;dst=100047&amp;field=134" TargetMode="External"/><Relationship Id="rId22" Type="http://schemas.openxmlformats.org/officeDocument/2006/relationships/hyperlink" Target="https://login.consultant.ru/link/?req=doc&amp;base=LAW&amp;n=369658&amp;date=21.01.2022" TargetMode="External"/><Relationship Id="rId27" Type="http://schemas.openxmlformats.org/officeDocument/2006/relationships/hyperlink" Target="https://login.consultant.ru/link/?req=doc&amp;base=LAW&amp;n=404604&amp;date=21.01.2022&amp;dst=105470&amp;field=134" TargetMode="External"/><Relationship Id="rId30" Type="http://schemas.openxmlformats.org/officeDocument/2006/relationships/hyperlink" Target="https://login.consultant.ru/link/?req=doc&amp;base=LAW&amp;n=389971&amp;date=21.01.2022&amp;dst=289&amp;field=134" TargetMode="External"/><Relationship Id="rId35" Type="http://schemas.openxmlformats.org/officeDocument/2006/relationships/hyperlink" Target="https://login.consultant.ru/link/?req=doc&amp;base=LAW&amp;n=378079&amp;date=21.01.2022&amp;dst=100109&amp;field=134" TargetMode="External"/><Relationship Id="rId43" Type="http://schemas.openxmlformats.org/officeDocument/2006/relationships/hyperlink" Target="https://login.consultant.ru/link/?req=doc&amp;base=LAW&amp;n=404604&amp;date=21.01.2022&amp;dst=105118&amp;field=134" TargetMode="External"/><Relationship Id="rId48" Type="http://schemas.openxmlformats.org/officeDocument/2006/relationships/hyperlink" Target="https://login.consultant.ru/link/?req=doc&amp;base=LAW&amp;n=404604&amp;date=21.01.2022&amp;dst=105437&amp;field=134" TargetMode="External"/><Relationship Id="rId56" Type="http://schemas.openxmlformats.org/officeDocument/2006/relationships/hyperlink" Target="https://login.consultant.ru/link/?req=doc&amp;base=LAW&amp;n=404604&amp;date=21.01.2022&amp;dst=105871&amp;field=134" TargetMode="External"/><Relationship Id="rId8" Type="http://schemas.openxmlformats.org/officeDocument/2006/relationships/hyperlink" Target="https://login.consultant.ru/link/?req=doc&amp;base=LAW&amp;n=399623&amp;date=21.01.2022&amp;dst=100226&amp;field=134" TargetMode="External"/><Relationship Id="rId51" Type="http://schemas.openxmlformats.org/officeDocument/2006/relationships/hyperlink" Target="https://login.consultant.ru/link/?req=doc&amp;base=LAW&amp;n=404604&amp;date=21.01.2022&amp;dst=105476&amp;field=134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3355</Words>
  <Characters>19128</Characters>
  <Application>Microsoft Office Word</Application>
  <DocSecurity>2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28.10.2021 N 1850"О внесении изменений в Правила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2021 году юридическим лиц</vt:lpstr>
    </vt:vector>
  </TitlesOfParts>
  <Company>КонсультантПлюс Версия 4021.00.20</Company>
  <LinksUpToDate>false</LinksUpToDate>
  <CharactersWithSpaces>22439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28.10.2021 N 1850"О внесении изменений в Правила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2021 году юридическим лиц</dc:title>
  <dc:subject/>
  <dc:creator>Елсуков Павел Валериевич</dc:creator>
  <cp:keywords/>
  <dc:description/>
  <cp:lastModifiedBy>admin</cp:lastModifiedBy>
  <cp:revision>2</cp:revision>
  <dcterms:created xsi:type="dcterms:W3CDTF">2022-04-25T16:40:00Z</dcterms:created>
  <dcterms:modified xsi:type="dcterms:W3CDTF">2022-04-25T16:40:00Z</dcterms:modified>
</cp:coreProperties>
</file>