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3A" w:rsidRDefault="002E063A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2E063A" w:rsidRDefault="002E063A">
      <w:pPr>
        <w:pStyle w:val="ConsPlusNormal"/>
        <w:jc w:val="both"/>
        <w:outlineLvl w:val="0"/>
      </w:pPr>
    </w:p>
    <w:p w:rsidR="002E063A" w:rsidRDefault="002E063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E063A" w:rsidRDefault="002E063A">
      <w:pPr>
        <w:pStyle w:val="ConsPlusTitle"/>
        <w:jc w:val="center"/>
      </w:pPr>
    </w:p>
    <w:p w:rsidR="002E063A" w:rsidRDefault="002E063A">
      <w:pPr>
        <w:pStyle w:val="ConsPlusTitle"/>
        <w:jc w:val="center"/>
      </w:pPr>
      <w:r>
        <w:t>ПОСТАНОВЛЕНИЕ</w:t>
      </w:r>
    </w:p>
    <w:p w:rsidR="002E063A" w:rsidRDefault="002E063A">
      <w:pPr>
        <w:pStyle w:val="ConsPlusTitle"/>
        <w:jc w:val="center"/>
      </w:pPr>
      <w:r>
        <w:t>от 25 февраля 2021 г. N 254</w:t>
      </w:r>
    </w:p>
    <w:p w:rsidR="002E063A" w:rsidRDefault="002E063A">
      <w:pPr>
        <w:pStyle w:val="ConsPlusTitle"/>
        <w:jc w:val="center"/>
      </w:pPr>
    </w:p>
    <w:p w:rsidR="002E063A" w:rsidRDefault="002E063A">
      <w:pPr>
        <w:pStyle w:val="ConsPlusTitle"/>
        <w:jc w:val="center"/>
      </w:pPr>
      <w:r>
        <w:t>ОБ УТВЕРЖДЕНИИ ПРАВИЛ</w:t>
      </w:r>
    </w:p>
    <w:p w:rsidR="002E063A" w:rsidRDefault="002E063A">
      <w:pPr>
        <w:pStyle w:val="ConsPlusTitle"/>
        <w:jc w:val="center"/>
      </w:pPr>
      <w:r>
        <w:t>ПРЕДОСТАВЛЕНИЯ ИЗ ФЕДЕРАЛЬНОГО БЮДЖЕТА</w:t>
      </w:r>
    </w:p>
    <w:p w:rsidR="002E063A" w:rsidRDefault="002E063A">
      <w:pPr>
        <w:pStyle w:val="ConsPlusTitle"/>
        <w:jc w:val="center"/>
      </w:pPr>
      <w:r>
        <w:t>СУБСИДИЙ НА ОРГАНИЗАЦИЮ ПЕРЕВОДОВ НА ИНОСТРАННЫЕ ЯЗЫКИ</w:t>
      </w:r>
    </w:p>
    <w:p w:rsidR="002E063A" w:rsidRDefault="002E063A">
      <w:pPr>
        <w:pStyle w:val="ConsPlusTitle"/>
        <w:jc w:val="center"/>
      </w:pPr>
      <w:r>
        <w:t>ПРОИЗВЕДЕНИЙ, СОЗДАННЫХ НА ЯЗЫКАХ НАРОДОВ РОССИЙСКОЙ</w:t>
      </w:r>
    </w:p>
    <w:p w:rsidR="002E063A" w:rsidRDefault="002E063A">
      <w:pPr>
        <w:pStyle w:val="ConsPlusTitle"/>
        <w:jc w:val="center"/>
      </w:pPr>
      <w:r>
        <w:t>ФЕДЕРАЦИИ, И ПРОЕКТОВ, НАПРАВЛЕННЫХ НА ПОВЫШЕНИЕ</w:t>
      </w:r>
    </w:p>
    <w:p w:rsidR="002E063A" w:rsidRDefault="002E063A">
      <w:pPr>
        <w:pStyle w:val="ConsPlusTitle"/>
        <w:jc w:val="center"/>
      </w:pPr>
      <w:r>
        <w:t>УРОВНЯ ВОСТРЕБОВАННОСТИ ЗА РУБЕЖОМ РОССИЙСКОЙ</w:t>
      </w:r>
    </w:p>
    <w:p w:rsidR="002E063A" w:rsidRDefault="002E063A">
      <w:pPr>
        <w:pStyle w:val="ConsPlusTitle"/>
        <w:jc w:val="center"/>
      </w:pPr>
      <w:r>
        <w:t>ХУДОЖЕСТВЕННОЙ ЛИТЕРАТУРЫ, И ПРИЗНАНИИ УТРАТИВШИМ</w:t>
      </w:r>
    </w:p>
    <w:p w:rsidR="002E063A" w:rsidRDefault="002E063A">
      <w:pPr>
        <w:pStyle w:val="ConsPlusTitle"/>
        <w:jc w:val="center"/>
      </w:pPr>
      <w:r>
        <w:t>СИЛУ ПОСТАНОВЛЕНИЯ ПРАВИТЕЛЬСТВА РОССИЙСКОЙ</w:t>
      </w:r>
    </w:p>
    <w:p w:rsidR="002E063A" w:rsidRDefault="002E063A">
      <w:pPr>
        <w:pStyle w:val="ConsPlusTitle"/>
        <w:jc w:val="center"/>
      </w:pPr>
      <w:r>
        <w:t>ФЕДЕРАЦИИ ОТ 26 МАРТА 2019 Г. N 314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на организацию переводов на иностранные языки произведений, созданных на языках народов Российской Федерации, и проектов, направленных на повышение уровня востребованности за рубежом российской художественной литературы.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26 марта 2019 г. N 314 "Об утверждении Правил предоставления из федерального бюджета субсидий на организацию переводов на иностранные языки произведений, созданных на языках народов Российской Федерации, и проектов, направленных на повышение уровня востребованности за рубежом российской художественной литературы" (Собрание законодательства Российской Федерации, 2019, N 13, ст. 1424).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3. Установить, что действие </w:t>
      </w:r>
      <w:hyperlink w:anchor="P34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right"/>
      </w:pPr>
      <w:r>
        <w:t>Председатель Правительства</w:t>
      </w:r>
    </w:p>
    <w:p w:rsidR="002E063A" w:rsidRDefault="002E063A">
      <w:pPr>
        <w:pStyle w:val="ConsPlusNormal"/>
        <w:jc w:val="right"/>
      </w:pPr>
      <w:r>
        <w:t>Российской Федерации</w:t>
      </w:r>
    </w:p>
    <w:p w:rsidR="002E063A" w:rsidRDefault="002E063A">
      <w:pPr>
        <w:pStyle w:val="ConsPlusNormal"/>
        <w:jc w:val="right"/>
      </w:pPr>
      <w:r>
        <w:t>М.МИШУСТИН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right"/>
        <w:outlineLvl w:val="0"/>
      </w:pPr>
      <w:r>
        <w:t>Утверждены</w:t>
      </w:r>
    </w:p>
    <w:p w:rsidR="002E063A" w:rsidRDefault="002E063A">
      <w:pPr>
        <w:pStyle w:val="ConsPlusNormal"/>
        <w:jc w:val="right"/>
      </w:pPr>
      <w:r>
        <w:t>постановлением Правительства</w:t>
      </w:r>
    </w:p>
    <w:p w:rsidR="002E063A" w:rsidRDefault="002E063A">
      <w:pPr>
        <w:pStyle w:val="ConsPlusNormal"/>
        <w:jc w:val="right"/>
      </w:pPr>
      <w:r>
        <w:t>Российской Федерации</w:t>
      </w:r>
    </w:p>
    <w:p w:rsidR="002E063A" w:rsidRDefault="002E063A">
      <w:pPr>
        <w:pStyle w:val="ConsPlusNormal"/>
        <w:jc w:val="right"/>
      </w:pPr>
      <w:r>
        <w:t>от 25 февраля 2021 г. N 254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Title"/>
        <w:jc w:val="center"/>
      </w:pPr>
      <w:bookmarkStart w:id="0" w:name="P34"/>
      <w:bookmarkEnd w:id="0"/>
      <w:r>
        <w:t>ПРАВИЛА</w:t>
      </w:r>
    </w:p>
    <w:p w:rsidR="002E063A" w:rsidRDefault="002E063A">
      <w:pPr>
        <w:pStyle w:val="ConsPlusTitle"/>
        <w:jc w:val="center"/>
      </w:pPr>
      <w:r>
        <w:t>ПРЕДОСТАВЛЕНИЯ ИЗ ФЕДЕРАЛЬНОГО БЮДЖЕТА</w:t>
      </w:r>
    </w:p>
    <w:p w:rsidR="002E063A" w:rsidRDefault="002E063A">
      <w:pPr>
        <w:pStyle w:val="ConsPlusTitle"/>
        <w:jc w:val="center"/>
      </w:pPr>
      <w:r>
        <w:t>СУБСИДИЙ НА ОРГАНИЗАЦИЮ ПЕРЕВОДОВ НА ИНОСТРАННЫЕ ЯЗЫКИ</w:t>
      </w:r>
    </w:p>
    <w:p w:rsidR="002E063A" w:rsidRDefault="002E063A">
      <w:pPr>
        <w:pStyle w:val="ConsPlusTitle"/>
        <w:jc w:val="center"/>
      </w:pPr>
      <w:r>
        <w:t>ПРОИЗВЕДЕНИЙ, СОЗДАННЫХ НА ЯЗЫКАХ НАРОДОВ РОССИЙСКОЙ</w:t>
      </w:r>
    </w:p>
    <w:p w:rsidR="002E063A" w:rsidRDefault="002E063A">
      <w:pPr>
        <w:pStyle w:val="ConsPlusTitle"/>
        <w:jc w:val="center"/>
      </w:pPr>
      <w:r>
        <w:t>ФЕДЕРАЦИИ, И ПРОЕКТОВ, НАПРАВЛЕННЫХ НА ПОВЫШЕНИЕ</w:t>
      </w:r>
    </w:p>
    <w:p w:rsidR="002E063A" w:rsidRDefault="002E063A">
      <w:pPr>
        <w:pStyle w:val="ConsPlusTitle"/>
        <w:jc w:val="center"/>
      </w:pPr>
      <w:r>
        <w:t>УРОВНЯ ВОСТРЕБОВАННОСТИ ЗА РУБЕЖОМ РОССИЙСКОЙ</w:t>
      </w:r>
    </w:p>
    <w:p w:rsidR="002E063A" w:rsidRDefault="002E063A">
      <w:pPr>
        <w:pStyle w:val="ConsPlusTitle"/>
        <w:jc w:val="center"/>
      </w:pPr>
      <w:r>
        <w:lastRenderedPageBreak/>
        <w:t>ХУДОЖЕСТВЕННОЙ ЛИТЕРАТУРЫ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ind w:firstLine="540"/>
        <w:jc w:val="both"/>
      </w:pPr>
      <w:r>
        <w:t xml:space="preserve">1. </w:t>
      </w:r>
      <w:r w:rsidR="00536E09" w:rsidRPr="00536E09">
        <w:t xml:space="preserve">{2} </w:t>
      </w:r>
      <w:r>
        <w:t>Настоящие Правила устанавливают цели, порядок и условия предоставления из федерального бюджета субсидий на организацию переводов на иностранные языки произведений, созданных на языках народов Российской Федерации, и проектов, направленных на повышение уровня востребованности за рубежом российской художественной литературы.</w:t>
      </w:r>
      <w:r w:rsidR="00536E09" w:rsidRPr="00536E09">
        <w:t xml:space="preserve"> {2}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1" w:name="P43"/>
      <w:bookmarkEnd w:id="1"/>
      <w:proofErr w:type="gramStart"/>
      <w:r>
        <w:t>2.</w:t>
      </w:r>
      <w:r w:rsidR="00536E09" w:rsidRPr="00536E09">
        <w:t xml:space="preserve"> {2} </w:t>
      </w:r>
      <w:r>
        <w:t xml:space="preserve"> Целями предоставления субсидий являются организация переводов на иностранные языки произведений, созданных на языках народов Российской Федерации (включая перевод произведений литературы народов Российской Федерации на русский язык с последующим переводом на иностранные языки) (далее - произведения), </w:t>
      </w:r>
      <w:r w:rsidR="00544A4B" w:rsidRPr="00544A4B">
        <w:t>{2}{2}</w:t>
      </w:r>
      <w:r>
        <w:t>и проектов (конгрессов, конференций, симпозиумов, дней российской литературы, семинаров, мастер-классов, лекционных занятий, круглых столов с участием зарубежных и отечественных писателей, издателей, переводчиков</w:t>
      </w:r>
      <w:proofErr w:type="gramEnd"/>
      <w:r>
        <w:t xml:space="preserve">, литературных критиков, ученых, преподавателей и студентов гуманитарных вузов), </w:t>
      </w:r>
      <w:r w:rsidR="00544A4B" w:rsidRPr="00544A4B">
        <w:t>{2}{2}</w:t>
      </w:r>
      <w:r>
        <w:t>направленных на повышение уровня востребованности за рубежом российской художественной литературы (далее соответственно - проекты, субсидия).</w:t>
      </w:r>
      <w:r w:rsidR="00536E09" w:rsidRPr="00536E09">
        <w:t xml:space="preserve"> {2}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3. </w:t>
      </w:r>
      <w:r w:rsidR="00536E09" w:rsidRPr="00536E09">
        <w:t>{</w:t>
      </w:r>
      <w:r w:rsidR="00536E09">
        <w:t>5</w:t>
      </w:r>
      <w:r w:rsidR="00536E09" w:rsidRPr="00536E09">
        <w:t xml:space="preserve">} </w:t>
      </w:r>
      <w:r>
        <w:t xml:space="preserve">Субсидии предоставляются в рамках подпрограммы "Искусство"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культуры".</w:t>
      </w:r>
      <w:r w:rsidR="00536E09" w:rsidRPr="00536E09">
        <w:t>{</w:t>
      </w:r>
      <w:r w:rsidR="00536E09">
        <w:t>5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4. </w:t>
      </w:r>
      <w:r w:rsidR="00536E09" w:rsidRPr="00536E09">
        <w:t>{</w:t>
      </w:r>
      <w:r w:rsidR="00536E09">
        <w:t>4</w:t>
      </w:r>
      <w:r w:rsidR="00536E09" w:rsidRPr="00536E09">
        <w:t xml:space="preserve">} </w:t>
      </w:r>
      <w:r>
        <w:t xml:space="preserve">Субсидии предоставляются Министерством цифрового развития, связи и массовых коммуникаций Российской Федерации в пределах лимитов бюджетных обязательств, доведенных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43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536E09" w:rsidRPr="00536E09">
        <w:t xml:space="preserve"> {</w:t>
      </w:r>
      <w:r w:rsidR="00536E09">
        <w:t>4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5. </w:t>
      </w:r>
      <w:r w:rsidR="00536E09" w:rsidRPr="00536E09">
        <w:t>{</w:t>
      </w:r>
      <w:r w:rsidR="00536E09">
        <w:t>6</w:t>
      </w:r>
      <w:r w:rsidR="00536E09" w:rsidRPr="00536E09">
        <w:t xml:space="preserve">} </w:t>
      </w:r>
      <w:r>
        <w:t>Отбор на право получения субсидий (далее - конкурсный отбор) осуществляется Министерством цифрового развития, связи и массовых коммуникаций Российской Федерации путем запроса предложений на основании заявок, направленных участниками конкурсного отбора для участия в конкурсном отборе (далее - заявка), исходя из соответствия участника конкурсного отбора критериям конкурсного отбора и очередности поступления заявок.</w:t>
      </w:r>
      <w:r w:rsidR="00536E09" w:rsidRPr="00536E09">
        <w:t xml:space="preserve"> {</w:t>
      </w:r>
      <w:r w:rsidR="00536E09">
        <w:t>6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6. </w:t>
      </w:r>
      <w:r w:rsidR="00536E09" w:rsidRPr="00536E09">
        <w:t>{</w:t>
      </w:r>
      <w:r w:rsidR="00536E09">
        <w:t>7</w:t>
      </w:r>
      <w:r w:rsidR="00536E09" w:rsidRPr="00536E09">
        <w:t xml:space="preserve">}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536E09" w:rsidRPr="00536E09">
        <w:t xml:space="preserve"> {</w:t>
      </w:r>
      <w:r w:rsidR="00536E09">
        <w:t>7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7. </w:t>
      </w:r>
      <w:r w:rsidR="00536E09" w:rsidRPr="00536E09">
        <w:t>{</w:t>
      </w:r>
      <w:r w:rsidR="00536E09">
        <w:t>8</w:t>
      </w:r>
      <w:r w:rsidR="00536E09" w:rsidRPr="00536E09">
        <w:t xml:space="preserve">} </w:t>
      </w:r>
      <w:r>
        <w:t xml:space="preserve">В целях проведения конкурсного отбора Министерство цифрового развития, связи и массовых коммуникаций Российской Федерации принимает решение о проведении конкурсного отбора, сроки которого не могут быть меньше 30 календарных дней, следующих за днем размещения объявления о проведении конкурсного отбора, образует комиссию по отбору заявок (далее - конкурсная комиссия), осуществляющую рассмотрение и оценку заявок, и утверждает </w:t>
      </w:r>
      <w:hyperlink r:id="rId7" w:history="1">
        <w:r>
          <w:rPr>
            <w:color w:val="0000FF"/>
          </w:rPr>
          <w:t>положение</w:t>
        </w:r>
      </w:hyperlink>
      <w:r>
        <w:t xml:space="preserve"> о ней.</w:t>
      </w:r>
      <w:r w:rsidR="00536E09" w:rsidRPr="00536E09">
        <w:t xml:space="preserve"> {</w:t>
      </w:r>
      <w:r w:rsidR="00536E09">
        <w:t>8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8. </w:t>
      </w:r>
      <w:r w:rsidR="00536E09" w:rsidRPr="00536E09">
        <w:t>{</w:t>
      </w:r>
      <w:r w:rsidR="00536E09">
        <w:t>9</w:t>
      </w:r>
      <w:r w:rsidR="00536E09" w:rsidRPr="00536E09">
        <w:t xml:space="preserve">} </w:t>
      </w:r>
      <w:r>
        <w:t>Объявление о проведении конкурсного отбора в течение 10 рабочих дней после принятия решения размещается на едином портале и на официальном сайте Министерства цифрового развития, связи и массовых коммуникаций Российской Федерации в сети "Интернет" (далее - сайт Министерства). Указанное объявление содержит следующую информацию:</w:t>
      </w:r>
      <w:r w:rsidR="00536E09" w:rsidRPr="00536E09">
        <w:t xml:space="preserve"> {</w:t>
      </w:r>
      <w:r w:rsidR="00536E09">
        <w:t>9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сроки проведения конкурсного отбора;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б)</w:t>
      </w:r>
      <w:r w:rsidR="00536E09" w:rsidRPr="00536E09">
        <w:t xml:space="preserve"> {</w:t>
      </w:r>
      <w:r w:rsidR="00536E09">
        <w:t>10</w:t>
      </w:r>
      <w:r w:rsidR="00536E09" w:rsidRPr="00536E09">
        <w:t xml:space="preserve">} </w:t>
      </w:r>
      <w:r>
        <w:t>требования к оформлению заявки;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требования к документам для участия в конкурсном отборе, представляемым в соответствии с настоящими Правилами;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место нахождения, почтовый адрес, адрес электронной почты Министерства цифрового развития, связи и массовых коммуникаций Российской Федерации;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 xml:space="preserve">результаты предоставления субсидии в соответствии с </w:t>
      </w:r>
      <w:hyperlink w:anchor="P125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е)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 xml:space="preserve">требования к организациям в соответствии с </w:t>
      </w:r>
      <w:hyperlink w:anchor="P65" w:history="1">
        <w:r>
          <w:rPr>
            <w:color w:val="0000FF"/>
          </w:rPr>
          <w:t>пунктом 9</w:t>
        </w:r>
      </w:hyperlink>
      <w:r>
        <w:t xml:space="preserve"> настоящих Правил и перечню документов, представляемых участниками конкурсного отбора;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ж)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 xml:space="preserve">порядок подачи заявок и требования, предъявляемые к форме и содержанию заявок в соответствии с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з)</w:t>
      </w:r>
      <w:r w:rsidR="00536E09" w:rsidRPr="00536E09">
        <w:t xml:space="preserve"> {</w:t>
      </w:r>
      <w:r w:rsidR="00536E09">
        <w:t>10</w:t>
      </w:r>
      <w:r w:rsidR="00536E09" w:rsidRPr="00536E09">
        <w:t xml:space="preserve">} </w:t>
      </w:r>
      <w:r>
        <w:t>порядок отзыва заявок организаций, порядок возврата заявок организаций, определяющий в том числе основания для возврата заявок;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Pr="00E0463E" w:rsidRDefault="002E063A">
      <w:pPr>
        <w:pStyle w:val="ConsPlusNormal"/>
        <w:spacing w:before="220"/>
        <w:ind w:firstLine="540"/>
        <w:jc w:val="both"/>
      </w:pPr>
      <w:r>
        <w:t>и)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  <w:r>
        <w:t xml:space="preserve"> правила рассмотрения заявок в соответствии с </w:t>
      </w:r>
      <w:hyperlink w:anchor="P83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E0463E" w:rsidRPr="00E0463E">
        <w:t xml:space="preserve"> {10}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к)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порядок информирования участников конкурсного отбора о сроках проведения конкурсного отбора;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л)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  <w:r>
        <w:t xml:space="preserve"> срок, в течение которого организация, прошедшая конкурсный отбор (далее - организация - получатель субсидии), должна подписать соглашение о предоставлении субсидии (далее - соглашение);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м)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условия признания организации - получателя субсидии уклонившейся от заключения соглашения;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н)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дата размещения результатов конкурсного отбора на едином портале, а также на сайте Министерства, которая не может быть позднее 14-го календарного дня, следующего за днем определения победителя конкурсного отбора;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о) </w:t>
      </w:r>
      <w:r w:rsidR="00536E09" w:rsidRPr="00536E09">
        <w:t>{</w:t>
      </w:r>
      <w:r w:rsidR="00536E09">
        <w:t>10</w:t>
      </w:r>
      <w:r w:rsidR="00536E09" w:rsidRPr="00536E09">
        <w:t xml:space="preserve">} </w:t>
      </w:r>
      <w:r>
        <w:t>порядок предоставления участникам отбора разъяснений положений объявления о проведении отбора, дата начала и окончания срока такого предоставления;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п)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  <w:r>
        <w:t xml:space="preserve"> состав конкурсной комиссии.</w:t>
      </w:r>
      <w:r w:rsidR="00536E09" w:rsidRPr="00536E09">
        <w:t xml:space="preserve"> {</w:t>
      </w:r>
      <w:r w:rsidR="00536E09">
        <w:t>10</w:t>
      </w:r>
      <w:r w:rsidR="00536E09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2" w:name="P65"/>
      <w:bookmarkEnd w:id="2"/>
      <w:r>
        <w:t xml:space="preserve">9.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Для участия в конкурсном отборе его участник должен соответствовать следующим критериям: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а)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некоммерческая организация не является государственным (муниципальным) учреждением;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б)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некоммерческая организация (далее - организация) имеет не менее 5 лет опыта сотрудничества с зарубежными партнерами в области перевода произведений на иностранные языки, выпуска книг, ориентированных на повышение уровня образования, культурной и профессиональной компетентности;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организация осуществляет издательскую деятельность не менее одного финансового года;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организация имеет право на использование и перевод произведения;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>организация имеет опыт работы по организации научных и практических мероприятий, в том числе проведения семинаров, мастер-классов, круглых столов и конференций, посвященных проблемам перевода;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е)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 xml:space="preserve">организация исполнила обязательства по заключенному ранее соглашению с </w:t>
      </w:r>
      <w:r>
        <w:lastRenderedPageBreak/>
        <w:t>Министерством цифрового развития, связи и массовых коммуникаций Российской Федерации или Федеральным агентством по печати и массовым коммуникациям;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ж)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 xml:space="preserve">} </w:t>
      </w:r>
      <w:r>
        <w:t xml:space="preserve"> организация на 1-е число месяца, предшествующего месяцу подачи заявки, не получает средства из федерального бюджета на основании иных нормативных правовых актов на цели, указанные в настоящих Правилах.</w:t>
      </w:r>
      <w:r w:rsidR="00703B3C" w:rsidRPr="00703B3C">
        <w:t xml:space="preserve"> </w:t>
      </w:r>
      <w:r w:rsidR="00703B3C" w:rsidRPr="00536E09">
        <w:t>{</w:t>
      </w:r>
      <w:r w:rsidR="00703B3C">
        <w:t>1</w:t>
      </w:r>
      <w:r w:rsidR="00703B3C" w:rsidRPr="00703B3C">
        <w:t>1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3" w:name="P73"/>
      <w:bookmarkEnd w:id="3"/>
      <w:r>
        <w:t xml:space="preserve">10.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 xml:space="preserve">заявка, содержащая смету затрат по направлениям расходов, предусмотренным </w:t>
      </w:r>
      <w:hyperlink w:anchor="P108" w:history="1">
        <w:r>
          <w:rPr>
            <w:color w:val="0000FF"/>
          </w:rPr>
          <w:t>пунктом 17</w:t>
        </w:r>
      </w:hyperlink>
      <w:r>
        <w:t xml:space="preserve"> настоящих Правил, с указанием планируемых значений результатов предоставления субсидии, установленных </w:t>
      </w:r>
      <w:hyperlink w:anchor="P125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б)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 xml:space="preserve"> копия устава организации, заверенная руководителем организации или иным уполномоченным лицом;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в)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 xml:space="preserve"> копия документа, подтверждающего полномочия руководителя организации и (или) иного уполномоченного лица на представление интересов организации, заверенного в установленном порядке;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>справка на 1-е число месяца, предшествующего месяцу подачи заявки, подписанная руководителем (иным уполномоченным лицом), о том, что: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21</w:t>
      </w:r>
      <w:r w:rsidRPr="00536E09">
        <w:t xml:space="preserve">} </w:t>
      </w:r>
      <w:r w:rsidR="002E063A">
        <w:t xml:space="preserve">организация не получает средства из федерального бюджета на основании иных нормативных правовых актов на цели, указанные в </w:t>
      </w:r>
      <w:hyperlink w:anchor="P43" w:history="1">
        <w:r w:rsidR="002E063A">
          <w:rPr>
            <w:color w:val="0000FF"/>
          </w:rPr>
          <w:t>пункте 2</w:t>
        </w:r>
      </w:hyperlink>
      <w:r w:rsidR="002E063A">
        <w:t xml:space="preserve"> настоящих Правил;</w:t>
      </w:r>
      <w:r w:rsidRPr="00703B3C">
        <w:t xml:space="preserve"> </w:t>
      </w:r>
      <w:r w:rsidRPr="00536E09">
        <w:t>{</w:t>
      </w:r>
      <w:r>
        <w:t>21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21</w:t>
      </w:r>
      <w:r w:rsidRPr="00536E09">
        <w:t xml:space="preserve">} </w:t>
      </w:r>
      <w:r w:rsidR="002E063A">
        <w:t>организация подтверждает свое согласие на публикацию (размещение) в сети "Интернет" информации об организации, подаваемой организацией заявке, иной информации об организации, связанной с соответствующим конкурсным отбором;</w:t>
      </w:r>
      <w:r w:rsidRPr="00703B3C">
        <w:t xml:space="preserve"> </w:t>
      </w:r>
      <w:r w:rsidRPr="00536E09">
        <w:t>{</w:t>
      </w:r>
      <w:r>
        <w:t>21</w:t>
      </w:r>
      <w:r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703B3C" w:rsidRPr="00536E09">
        <w:t>{</w:t>
      </w:r>
      <w:r w:rsidR="00703B3C">
        <w:t>19</w:t>
      </w:r>
      <w:r w:rsidR="00703B3C" w:rsidRPr="00536E09">
        <w:t xml:space="preserve">} </w:t>
      </w:r>
      <w:r>
        <w:t>сопроводительное письмо на бланке организации с перечнем представленных документов.</w:t>
      </w:r>
      <w:r w:rsidR="00703B3C" w:rsidRPr="00703B3C">
        <w:t xml:space="preserve"> </w:t>
      </w:r>
      <w:r w:rsidR="00703B3C" w:rsidRPr="00536E09">
        <w:t>{</w:t>
      </w:r>
      <w:r w:rsidR="00703B3C">
        <w:t>19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11. </w:t>
      </w:r>
      <w:r w:rsidR="00703B3C" w:rsidRPr="00536E09">
        <w:t>{</w:t>
      </w:r>
      <w:r w:rsidR="00703B3C">
        <w:t>20</w:t>
      </w:r>
      <w:r w:rsidR="00703B3C" w:rsidRPr="00536E09">
        <w:t xml:space="preserve">} </w:t>
      </w:r>
      <w:r>
        <w:t xml:space="preserve">Министерство цифрового развития, связи и массовых коммуникаций Российской Федерации в течение 3 рабочих дней со дня поступления документов, предусмотренных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Правил, регистрирует их и представляет на рассмотрение в конкурсную комиссию.</w:t>
      </w:r>
      <w:r w:rsidR="00703B3C" w:rsidRPr="00703B3C">
        <w:t xml:space="preserve"> </w:t>
      </w:r>
      <w:r w:rsidR="00703B3C" w:rsidRPr="00536E09">
        <w:t>{</w:t>
      </w:r>
      <w:r w:rsidR="00703B3C">
        <w:t>20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12. </w:t>
      </w:r>
      <w:r w:rsidR="00703B3C" w:rsidRPr="00536E09">
        <w:t>{</w:t>
      </w:r>
      <w:r w:rsidR="00703B3C">
        <w:t>20</w:t>
      </w:r>
      <w:r w:rsidR="00703B3C" w:rsidRPr="00536E09">
        <w:t xml:space="preserve">} </w:t>
      </w:r>
      <w:r>
        <w:t xml:space="preserve">Конкурсная комиссия в порядке и сроки, которые установлены положением о конкурсной комиссии, проводит рассмотрение заявок и иных документов, представленных на конкурсный отбор в соответствии с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703B3C" w:rsidRPr="00703B3C">
        <w:t xml:space="preserve"> </w:t>
      </w:r>
      <w:r w:rsidR="00703B3C" w:rsidRPr="00536E09">
        <w:t>{</w:t>
      </w:r>
      <w:r w:rsidR="00703B3C">
        <w:t>20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4" w:name="P83"/>
      <w:bookmarkEnd w:id="4"/>
      <w:r>
        <w:t xml:space="preserve">13. </w:t>
      </w:r>
      <w:r w:rsidR="00703B3C" w:rsidRPr="00536E09">
        <w:t>{</w:t>
      </w:r>
      <w:r w:rsidR="00703B3C">
        <w:t>15</w:t>
      </w:r>
      <w:r w:rsidR="00703B3C" w:rsidRPr="00536E09">
        <w:t xml:space="preserve">} </w:t>
      </w:r>
      <w:r>
        <w:t>Рассмотрение заявок конкурсной комиссией осуществляется в соответствии со следующими критериями:</w:t>
      </w:r>
      <w:r w:rsidR="00703B3C" w:rsidRPr="00703B3C">
        <w:t xml:space="preserve"> </w:t>
      </w:r>
      <w:r w:rsidR="00703B3C" w:rsidRPr="00536E09">
        <w:t>{</w:t>
      </w:r>
      <w:r w:rsidR="00703B3C">
        <w:t>15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703B3C" w:rsidRPr="00536E09">
        <w:t>{</w:t>
      </w:r>
      <w:r w:rsidR="00703B3C">
        <w:t>15</w:t>
      </w:r>
      <w:r w:rsidR="00703B3C" w:rsidRPr="00536E09">
        <w:t xml:space="preserve">} </w:t>
      </w:r>
      <w:r>
        <w:t>произведения, представленные в заявках, должны отражать культурный, общественный, государственный интерес и формировать позитивный образ России за рубежом;</w:t>
      </w:r>
      <w:r w:rsidR="00703B3C" w:rsidRPr="00703B3C">
        <w:t xml:space="preserve"> </w:t>
      </w:r>
      <w:r w:rsidR="00703B3C" w:rsidRPr="00536E09">
        <w:t>{</w:t>
      </w:r>
      <w:r w:rsidR="00703B3C">
        <w:t>15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703B3C" w:rsidRPr="00536E09">
        <w:t>{</w:t>
      </w:r>
      <w:r w:rsidR="00703B3C">
        <w:t>15</w:t>
      </w:r>
      <w:r w:rsidR="00703B3C" w:rsidRPr="00536E09">
        <w:t xml:space="preserve">} </w:t>
      </w:r>
      <w:r>
        <w:t>наличие в заявках произведений победителей литературных конкурсов и лауреатов литературных премий, а также произведений, освещающих знаменательные даты в российской культуре;</w:t>
      </w:r>
      <w:r w:rsidR="00703B3C" w:rsidRPr="00703B3C">
        <w:t xml:space="preserve"> </w:t>
      </w:r>
      <w:r w:rsidR="00703B3C" w:rsidRPr="00536E09">
        <w:t>{</w:t>
      </w:r>
      <w:r w:rsidR="00703B3C">
        <w:t>15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703B3C" w:rsidRPr="00536E09">
        <w:t>{</w:t>
      </w:r>
      <w:r w:rsidR="00703B3C">
        <w:t>15</w:t>
      </w:r>
      <w:r w:rsidR="00703B3C" w:rsidRPr="00536E09">
        <w:t xml:space="preserve">} </w:t>
      </w:r>
      <w:r>
        <w:t xml:space="preserve">заявка на организацию перевода на иностранные языки произведений, созданных на </w:t>
      </w:r>
      <w:r>
        <w:lastRenderedPageBreak/>
        <w:t>языках народов Российской Федерации (включая перевод произведений литературы народов Российской Федерации на русский язык с последующим переводом на иностранные языки), должна содержать не менее 20 произведений литературы;</w:t>
      </w:r>
      <w:r w:rsidR="00703B3C" w:rsidRPr="00703B3C">
        <w:t xml:space="preserve"> </w:t>
      </w:r>
      <w:r w:rsidR="00703B3C" w:rsidRPr="00536E09">
        <w:t>{</w:t>
      </w:r>
      <w:r w:rsidR="00703B3C">
        <w:t>15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703B3C" w:rsidRPr="00536E09">
        <w:t>{</w:t>
      </w:r>
      <w:r w:rsidR="00703B3C">
        <w:t>15</w:t>
      </w:r>
      <w:r w:rsidR="00703B3C" w:rsidRPr="00536E09">
        <w:t xml:space="preserve">} </w:t>
      </w:r>
      <w:r>
        <w:t>заявка на реализацию проектов, направленных на повышение уровня востребованности за рубежом российской художественной литературы, должна содержать не менее 2 проектов.</w:t>
      </w:r>
      <w:r w:rsidR="00703B3C" w:rsidRPr="00703B3C">
        <w:t xml:space="preserve"> </w:t>
      </w:r>
      <w:r w:rsidR="00703B3C" w:rsidRPr="00536E09">
        <w:t>{</w:t>
      </w:r>
      <w:r w:rsidR="00703B3C">
        <w:t>15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14.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>Основаниями для отклонения заявки организации на стадии рассмотрения являются: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 xml:space="preserve">несоответствие организации требованиям, установленным </w:t>
      </w:r>
      <w:hyperlink w:anchor="P65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Pr="00703B3C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 xml:space="preserve">непредставление заявителем документов, указанных в </w:t>
      </w:r>
      <w:hyperlink w:anchor="P73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 xml:space="preserve">несоответствие представленных заявок и документов требованиям, установленным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>недостоверность информации, представленной организацией, в том числе информации о месте нахождения и адресе юридического лица;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>подача заявки после даты окончания приема заявок;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е) </w:t>
      </w:r>
      <w:r w:rsidR="00703B3C" w:rsidRPr="00536E09">
        <w:t>{</w:t>
      </w:r>
      <w:r w:rsidR="00703B3C">
        <w:t>17</w:t>
      </w:r>
      <w:r w:rsidR="00703B3C" w:rsidRPr="00536E09">
        <w:t xml:space="preserve">} </w:t>
      </w:r>
      <w:r>
        <w:t xml:space="preserve">несоответствие заявки критериям, установленным </w:t>
      </w:r>
      <w:hyperlink w:anchor="P83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703B3C" w:rsidRPr="00703B3C">
        <w:t xml:space="preserve"> </w:t>
      </w:r>
      <w:r w:rsidR="00703B3C" w:rsidRPr="00536E09">
        <w:t>{</w:t>
      </w:r>
      <w:r w:rsidR="00703B3C">
        <w:t>17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15. </w:t>
      </w:r>
      <w:r w:rsidR="00703B3C" w:rsidRPr="00536E09">
        <w:t>{</w:t>
      </w:r>
      <w:r w:rsidR="00703B3C">
        <w:t>10</w:t>
      </w:r>
      <w:r w:rsidR="00703B3C" w:rsidRPr="00536E09">
        <w:t xml:space="preserve">} </w:t>
      </w:r>
      <w:r>
        <w:t>Решение о проведении заседания конкурсной комиссии принимается председателем (сопредседателем) конкурсной комиссии.</w:t>
      </w:r>
      <w:r w:rsidR="00703B3C" w:rsidRPr="00703B3C">
        <w:t xml:space="preserve"> </w:t>
      </w:r>
      <w:r w:rsidR="00703B3C" w:rsidRPr="00536E09">
        <w:t>{</w:t>
      </w:r>
      <w:r w:rsidR="00703B3C">
        <w:t>10</w:t>
      </w:r>
      <w:r w:rsidR="00703B3C"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10</w:t>
      </w:r>
      <w:r w:rsidRPr="00536E09">
        <w:t xml:space="preserve">} </w:t>
      </w:r>
      <w:r w:rsidR="002E063A">
        <w:t>Информация о проведении заседания конкурсной комиссии размещается на сайте Министерства не позднее 5 рабочих дней после принятия решения о его проведении.</w:t>
      </w:r>
      <w:r w:rsidRPr="00703B3C">
        <w:t xml:space="preserve"> </w:t>
      </w:r>
      <w:r w:rsidRPr="00536E09">
        <w:t>{</w:t>
      </w:r>
      <w:r>
        <w:t>10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10</w:t>
      </w:r>
      <w:r w:rsidRPr="00536E09">
        <w:t xml:space="preserve">} </w:t>
      </w:r>
      <w:r w:rsidR="002E063A">
        <w:t>Решение конкурсной комиссии об определении организаций, прошедших конкурсный отбор, оформляется протоколом заседания конкурсной комиссии (далее - протокол). Протокол ведет секретарь конкурсной комиссии.</w:t>
      </w:r>
      <w:r w:rsidRPr="00703B3C">
        <w:t xml:space="preserve"> </w:t>
      </w:r>
      <w:r w:rsidRPr="00536E09">
        <w:t>{</w:t>
      </w:r>
      <w:r>
        <w:t>10</w:t>
      </w:r>
      <w:r w:rsidRPr="00536E09">
        <w:t>} {</w:t>
      </w:r>
      <w:r>
        <w:t>35</w:t>
      </w:r>
      <w:r w:rsidRPr="00536E09">
        <w:t>}</w:t>
      </w:r>
      <w:r w:rsidR="002E063A">
        <w:t>Протокол подписывается членами конкурсной комиссии, участвовавшими в заседании.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В протоколе фиксируются: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состав присутствующих;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дата и место проведения заседания конкурсной комиссии;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информация об организациях, заявки которых были рассмотрены;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информация об организациях, заявки которых были отклонены;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наименование организаций - получателей субсидии, с которыми заключается соглашение, и размер предоставляемой им субсидии.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>Перечень организаций - получателей субсидии утверждается Министром цифрового развития, связи и массовых коммуникаций Российской Федерации (иным уполномоченным лицом).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35</w:t>
      </w:r>
      <w:r w:rsidRPr="00536E09">
        <w:t>}</w:t>
      </w:r>
      <w:r w:rsidRPr="00703B3C">
        <w:t xml:space="preserve"> </w:t>
      </w:r>
      <w:r w:rsidR="002E063A">
        <w:t xml:space="preserve">Протокол и перечень организаций - получателей субсидии размещаются на едином портале не позднее 14-го календарного дня, следующего за днем определения победителей </w:t>
      </w:r>
      <w:r w:rsidR="002E063A">
        <w:lastRenderedPageBreak/>
        <w:t>конкурсного отбора.</w:t>
      </w:r>
      <w:r w:rsidRPr="00703B3C">
        <w:t xml:space="preserve"> </w:t>
      </w:r>
      <w:r w:rsidRPr="00536E09">
        <w:t>{</w:t>
      </w:r>
      <w:r>
        <w:t>35</w:t>
      </w:r>
      <w:r w:rsidRPr="00536E09">
        <w:t>}</w:t>
      </w:r>
    </w:p>
    <w:p w:rsidR="002E063A" w:rsidRDefault="00703B3C">
      <w:pPr>
        <w:pStyle w:val="ConsPlusNormal"/>
        <w:spacing w:before="220"/>
        <w:ind w:firstLine="540"/>
        <w:jc w:val="both"/>
      </w:pPr>
      <w:r w:rsidRPr="00536E09">
        <w:t>{</w:t>
      </w:r>
      <w:r>
        <w:t>7</w:t>
      </w:r>
      <w:r w:rsidRPr="00536E09">
        <w:t>}</w:t>
      </w:r>
      <w:r w:rsidRPr="00703B3C">
        <w:t xml:space="preserve"> </w:t>
      </w:r>
      <w:r w:rsidR="002E063A">
        <w:t>Результаты конкурсного отбора размещаются на сайте Министерства не позднее 14-го календарного дня, следующего за днем определения победителей конкурсного отбора.</w:t>
      </w:r>
      <w:r w:rsidRPr="00703B3C">
        <w:t xml:space="preserve"> </w:t>
      </w:r>
      <w:r w:rsidRPr="00536E09">
        <w:t>{</w:t>
      </w:r>
      <w:r>
        <w:t>7</w:t>
      </w:r>
      <w:r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16. </w:t>
      </w:r>
      <w:r w:rsidR="00703B3C" w:rsidRPr="00703B3C">
        <w:t>{</w:t>
      </w:r>
      <w:r w:rsidR="00703B3C">
        <w:t>2</w:t>
      </w:r>
      <w:r w:rsidR="00703B3C" w:rsidRPr="00703B3C">
        <w:t>2</w:t>
      </w:r>
      <w:r w:rsidR="00703B3C" w:rsidRPr="00536E09">
        <w:t>}</w:t>
      </w:r>
      <w:r w:rsidR="00703B3C" w:rsidRPr="00703B3C">
        <w:t xml:space="preserve"> </w:t>
      </w:r>
      <w:r>
        <w:t xml:space="preserve">Размер субсидии не может превышать суммы расходов организации по направлениям расходов, предусмотренным </w:t>
      </w:r>
      <w:hyperlink w:anchor="P108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  <w:r w:rsidR="00703B3C" w:rsidRPr="00703B3C">
        <w:t xml:space="preserve"> {</w:t>
      </w:r>
      <w:r w:rsidR="00703B3C">
        <w:t>2</w:t>
      </w:r>
      <w:r w:rsidR="00703B3C" w:rsidRPr="00703B3C">
        <w:t>2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5" w:name="P108"/>
      <w:bookmarkEnd w:id="5"/>
      <w:r>
        <w:t xml:space="preserve">17.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Субсидия является источником финансового обеспечения затрат организации, связанных с достижением целей, указанных в настоящих Правилах, по следующим направлениям расходов: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а)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визовой поддержки (в том числе расходы на оформление приглашений, уплату визового сбора, оплату медицинской страховки и услуг соответствующих агентств по оформлению виз);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аренды помещений;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 xml:space="preserve">оплата аренды оборудования (презентационного (проекторы, экраны, видеопроекционные системы, интерактивные доски), выставочного (доски магнитные и маркерные, стойки, стенды, выставочные столы, стулья, </w:t>
      </w:r>
      <w:proofErr w:type="spellStart"/>
      <w:r>
        <w:t>буклетницы</w:t>
      </w:r>
      <w:proofErr w:type="spellEnd"/>
      <w:r>
        <w:t>);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аренды оборудования для синхронного перевода (микрофонов, микшеров, акустических систем, усилителей, радиомикрофонов, петличных микрофонов);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аренды оргтехники (факсов, ксероксов, принтеров, сканеров);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е)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канцелярских принадлежностей и расходных материалов;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ж)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проезда и проживания российских и зарубежных писателей, издателей, переводчиков, литературных критиков, ученых, преподавателей и студентов во время проведения мероприятий в рамках проектов в России и за рубежом;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з)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издательско-полиграфических работ (услуг) для некоммерческого (бесплатного) распространения информационной, методической, презентационной литературы среди участников мероприятий в рамках проектов;</w:t>
      </w:r>
      <w:r w:rsidR="00703B3C">
        <w:t xml:space="preserve"> </w:t>
      </w:r>
      <w:r w:rsidR="00703B3C" w:rsidRPr="00703B3C">
        <w:t>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и)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услуг по созданию методических, информационных, презентационных аудио- и видеороликов, рекламных услуг;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к)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транспортных, погрузочно-разгрузочных работ (услуг);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л)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услуг зарубежных ассоциаций переводчиков, национальных гильдий издателей, литературных агентств по представлению информации о наличии переведенной российской литературы на зарубежных рынках;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м)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прав на использование произведения и прав на его перевод;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proofErr w:type="gramStart"/>
      <w:r>
        <w:t xml:space="preserve">н) </w:t>
      </w:r>
      <w:r w:rsidR="00703B3C" w:rsidRPr="00703B3C">
        <w:t>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>оплата труда, уплата страховых взносов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взносов на обязательное социальное страхование от несчастных случаев на производстве и профессиональных заболеваний,</w:t>
      </w:r>
      <w:r w:rsidR="00544A4B" w:rsidRPr="00544A4B">
        <w:t>{30}{30}</w:t>
      </w:r>
      <w:r>
        <w:t xml:space="preserve"> иных страховых взносов, выплата пособия по временной нетрудоспособности вследствие заболевания или травмы (за исключением случаев на производстве и</w:t>
      </w:r>
      <w:proofErr w:type="gramEnd"/>
      <w:r>
        <w:t xml:space="preserve"> профессиональных заболеваний) за первые 3 дня нетрудоспособности работника в соответствии с законодательством Российской Федерации;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lastRenderedPageBreak/>
        <w:t>о)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  <w:r w:rsidR="00703B3C" w:rsidRPr="00703B3C">
        <w:t xml:space="preserve"> </w:t>
      </w:r>
      <w:r>
        <w:t xml:space="preserve"> </w:t>
      </w:r>
      <w:proofErr w:type="gramStart"/>
      <w:r>
        <w:t>оплата авторского гонорара</w:t>
      </w:r>
      <w:proofErr w:type="gramEnd"/>
      <w:r>
        <w:t>.</w:t>
      </w:r>
      <w:r w:rsidR="00703B3C" w:rsidRPr="00703B3C">
        <w:t xml:space="preserve"> {</w:t>
      </w:r>
      <w:r w:rsidR="00703B3C">
        <w:t>30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18.</w:t>
      </w:r>
      <w:r w:rsidR="00703B3C" w:rsidRPr="00703B3C">
        <w:t xml:space="preserve"> {</w:t>
      </w:r>
      <w:r w:rsidR="00703B3C">
        <w:t>22</w:t>
      </w:r>
      <w:r w:rsidR="00703B3C" w:rsidRPr="00536E09">
        <w:t>}</w:t>
      </w:r>
      <w:r w:rsidR="00703B3C" w:rsidRPr="00703B3C">
        <w:t xml:space="preserve"> </w:t>
      </w:r>
      <w:r>
        <w:t xml:space="preserve">Размер субсидии рассчитывается как сумма затрат по направлениям расходов получателя субсидии, предусмотренным </w:t>
      </w:r>
      <w:hyperlink w:anchor="P108" w:history="1">
        <w:r>
          <w:rPr>
            <w:color w:val="0000FF"/>
          </w:rPr>
          <w:t>пунктом 17</w:t>
        </w:r>
      </w:hyperlink>
      <w:r>
        <w:t xml:space="preserve"> настоящих Правил.</w:t>
      </w:r>
      <w:r w:rsidR="00703B3C" w:rsidRPr="00703B3C">
        <w:t xml:space="preserve"> {</w:t>
      </w:r>
      <w:r w:rsidR="00703B3C">
        <w:t>22</w:t>
      </w:r>
      <w:r w:rsidR="00703B3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proofErr w:type="gramStart"/>
      <w:r>
        <w:t xml:space="preserve">19. </w:t>
      </w:r>
      <w:r w:rsidR="004867BA" w:rsidRPr="00703B3C">
        <w:t>{</w:t>
      </w:r>
      <w:r w:rsidR="004867BA">
        <w:t>31</w:t>
      </w:r>
      <w:r w:rsidR="004867BA" w:rsidRPr="00536E09">
        <w:t>}</w:t>
      </w:r>
      <w:r w:rsidR="004867BA" w:rsidRPr="00703B3C">
        <w:t xml:space="preserve"> </w:t>
      </w:r>
      <w:r>
        <w:t xml:space="preserve">Организации - получателю субсидии, а также юридическим лицам, получающим средства субсидии на основании договоров, заключенных с организацией - получателем субсидии, запрещается приобретать за счет полученных средств субсидии иностранную валюту, за исключением операций, </w:t>
      </w:r>
      <w:r w:rsidR="00544A4B" w:rsidRPr="00544A4B">
        <w:t>{31}{31}</w:t>
      </w:r>
      <w:r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связанных с достижением целей предоставления</w:t>
      </w:r>
      <w:proofErr w:type="gramEnd"/>
      <w:r>
        <w:t xml:space="preserve"> субсидии, указанных в </w:t>
      </w:r>
      <w:hyperlink w:anchor="P43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4867BA" w:rsidRPr="004867BA">
        <w:t xml:space="preserve"> </w:t>
      </w:r>
      <w:r w:rsidR="004867BA" w:rsidRPr="00703B3C">
        <w:t>{</w:t>
      </w:r>
      <w:r w:rsidR="004867BA">
        <w:t>31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6" w:name="P125"/>
      <w:bookmarkEnd w:id="6"/>
      <w:r>
        <w:t xml:space="preserve">20. </w:t>
      </w:r>
      <w:r w:rsidR="004867BA" w:rsidRPr="00703B3C">
        <w:t>{</w:t>
      </w:r>
      <w:r w:rsidR="004867BA">
        <w:t>27</w:t>
      </w:r>
      <w:r w:rsidR="004867BA" w:rsidRPr="00536E09">
        <w:t>}</w:t>
      </w:r>
      <w:r w:rsidR="004867BA" w:rsidRPr="00703B3C">
        <w:t xml:space="preserve"> </w:t>
      </w:r>
      <w:r>
        <w:t>Результатом предоставления субсидий являются количество наименований произведений, переведенных на иностранные языки, и количество проектов в текущем финансовом году.</w:t>
      </w:r>
      <w:r w:rsidR="004867BA" w:rsidRPr="004867BA">
        <w:t xml:space="preserve"> </w:t>
      </w:r>
      <w:r w:rsidR="004867BA" w:rsidRPr="00703B3C">
        <w:t>{</w:t>
      </w:r>
      <w:r w:rsidR="004867BA">
        <w:t>27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21.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Субсидия предоставляется в соответствии с соглашением, заключенным в государственной интегрированной информационной системе управления общественными финансами "Электронный бюджет" между Министерством цифрового развития, связи и массовых коммуникаций Российской Федерации и организацией - получателем субсидии в соответствии с настоящими Правилами и </w:t>
      </w:r>
      <w:hyperlink r:id="rId8" w:history="1">
        <w:r>
          <w:rPr>
            <w:color w:val="0000FF"/>
          </w:rPr>
          <w:t>типовой формой</w:t>
        </w:r>
      </w:hyperlink>
      <w:r>
        <w:t>, утвержденной Министерством финансов Российской Федерации, которое предусматривает в том числе: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>формы отчета о достижении значений результатов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типовыми формами соглашений, установленными Министерством финансов Российской Федерации;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>формы представления организацией - получателем субсидии дополнительной отчетности;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порядок возврата сумм, использованных организацией -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</w:t>
      </w:r>
      <w:r w:rsidR="00544A4B" w:rsidRPr="00544A4B">
        <w:t>{24}{24}</w:t>
      </w:r>
      <w:bookmarkStart w:id="7" w:name="_GoBack"/>
      <w:bookmarkEnd w:id="7"/>
      <w:r>
        <w:t>и (или)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г)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>случаи и условия расторжения соглашения;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д)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>ответственность за неисполнение или ненадлежащее исполнение условий, предусмотренных настоящими Правилами и соглашением;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е)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значения результатов предоставления субсидии, предусмотренных </w:t>
      </w:r>
      <w:hyperlink w:anchor="P125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ж)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>требование о казначейском сопровождении, установленное правилами казначейского сопровождения в соответствии с бюджетным законодательством Российской Федерации;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з)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 согласие организации -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проверок соблюдения целей, порядка и условий предоставления субсидии, а также обязательство организации -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</w:t>
      </w:r>
      <w:r>
        <w:lastRenderedPageBreak/>
        <w:t>исполнителями), на проведение указанных проверок;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и)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 в случае уменьшения Министерству цифрового развития, связи и массовых коммуникаций Российской Федерации бюджетных средств ранее доведенных лимитов бюджетных обязательств на цели, указанные в </w:t>
      </w:r>
      <w:hyperlink w:anchor="P43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22. </w:t>
      </w:r>
      <w:r w:rsidR="004867BA" w:rsidRPr="00703B3C">
        <w:t>{</w:t>
      </w:r>
      <w:r w:rsidR="004867BA">
        <w:t>26</w:t>
      </w:r>
      <w:r w:rsidR="004867BA" w:rsidRPr="00536E09">
        <w:t>}</w:t>
      </w:r>
      <w:r w:rsidR="004867BA" w:rsidRPr="00703B3C">
        <w:t xml:space="preserve"> </w:t>
      </w:r>
      <w:r>
        <w:t>Дополнительное соглашение к соглашению, в том числе дополнительное соглашение о расторжении соглашения, заключается Министерством цифрового развития, связи и массовых коммуникаций Российской Федерации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4867BA" w:rsidRPr="004867BA">
        <w:t xml:space="preserve"> </w:t>
      </w:r>
      <w:r w:rsidR="004867BA" w:rsidRPr="00703B3C">
        <w:t>{</w:t>
      </w:r>
      <w:r w:rsidR="004867BA">
        <w:t>26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bookmarkStart w:id="8" w:name="P137"/>
      <w:bookmarkEnd w:id="8"/>
      <w:r>
        <w:t xml:space="preserve">23.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>Основаниями для отказа в предоставлении субсидии являются: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 xml:space="preserve">несоответствие представленных получателем субсидии документов требованиям, установленным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>б)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>ненадлежащее оформление представленных документов;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>установление факта недостоверности сведений, содержащихся в представленных документах.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24.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 xml:space="preserve">В случае отказа в предоставлении субсидии по основаниям, указанным в </w:t>
      </w:r>
      <w:hyperlink w:anchor="P137" w:history="1">
        <w:r>
          <w:rPr>
            <w:color w:val="0000FF"/>
          </w:rPr>
          <w:t>пункте 23</w:t>
        </w:r>
      </w:hyperlink>
      <w:r>
        <w:t xml:space="preserve"> настоящих Правил,</w:t>
      </w:r>
      <w:r w:rsidR="004867BA" w:rsidRPr="004867BA">
        <w:t xml:space="preserve"> </w:t>
      </w:r>
      <w:r w:rsidR="004867BA" w:rsidRPr="00703B3C">
        <w:t>{</w:t>
      </w:r>
      <w:r w:rsidR="004867BA">
        <w:t>21</w:t>
      </w:r>
      <w:r w:rsidR="004867BA" w:rsidRPr="00536E09">
        <w:t>}</w:t>
      </w:r>
      <w:r w:rsidR="004867BA" w:rsidRPr="00703B3C">
        <w:t xml:space="preserve"> </w:t>
      </w:r>
      <w:r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  <w:r w:rsidR="004867BA" w:rsidRPr="00703B3C">
        <w:t xml:space="preserve"> </w:t>
      </w:r>
      <w:r>
        <w:t xml:space="preserve">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73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4867BA" w:rsidRPr="004867BA">
        <w:t xml:space="preserve"> </w:t>
      </w:r>
      <w:r w:rsidR="004867BA" w:rsidRPr="00703B3C">
        <w:t>{</w:t>
      </w:r>
      <w:r w:rsidR="004867BA">
        <w:t>24</w:t>
      </w:r>
      <w:r w:rsidR="004867BA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25. </w:t>
      </w:r>
      <w:r w:rsidR="004867BA" w:rsidRPr="00703B3C">
        <w:t>{</w:t>
      </w:r>
      <w:r w:rsidR="004867BA">
        <w:t>29</w:t>
      </w:r>
      <w:r w:rsidR="004867BA" w:rsidRPr="00536E09">
        <w:t>}</w:t>
      </w:r>
      <w:r w:rsidR="004867BA" w:rsidRPr="00703B3C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4867BA" w:rsidRPr="004867BA">
        <w:t xml:space="preserve"> </w:t>
      </w:r>
      <w:r w:rsidR="004867BA" w:rsidRPr="00703B3C">
        <w:t>{</w:t>
      </w:r>
      <w:r w:rsidR="004867BA">
        <w:t>29</w:t>
      </w:r>
      <w:r w:rsidR="004867BA" w:rsidRPr="00536E09">
        <w:t>}</w:t>
      </w:r>
      <w:r w:rsidR="004867BA" w:rsidRPr="00703B3C">
        <w:t xml:space="preserve"> </w:t>
      </w:r>
      <w:r>
        <w:t xml:space="preserve"> </w:t>
      </w:r>
      <w:r w:rsidR="004867BA" w:rsidRPr="00703B3C">
        <w:t>{</w:t>
      </w:r>
      <w:r w:rsidR="004867BA">
        <w:t>28</w:t>
      </w:r>
      <w:r w:rsidR="004867BA" w:rsidRPr="00536E09">
        <w:t>}</w:t>
      </w:r>
      <w:r w:rsidR="004867BA" w:rsidRPr="00703B3C">
        <w:t xml:space="preserve"> </w:t>
      </w:r>
      <w:r>
        <w:t>не позднее 2-го рабочего дня после представления в территориальный орган Федерального казначейства организацией - получателем субсидии распоряжений о совершении казначейских платежей для оплаты денежного обязательства организации - получателя субсидии.</w:t>
      </w:r>
      <w:r w:rsidR="004867BA" w:rsidRPr="004867BA">
        <w:t xml:space="preserve"> </w:t>
      </w:r>
      <w:r w:rsidR="004867BA" w:rsidRPr="00703B3C">
        <w:t>{</w:t>
      </w:r>
      <w:r w:rsidR="004867BA">
        <w:t>28</w:t>
      </w:r>
      <w:r w:rsidR="004867BA" w:rsidRPr="00536E09">
        <w:t>}</w:t>
      </w:r>
    </w:p>
    <w:p w:rsidR="002E063A" w:rsidRDefault="004867BA">
      <w:pPr>
        <w:pStyle w:val="ConsPlusNormal"/>
        <w:spacing w:before="220"/>
        <w:ind w:firstLine="540"/>
        <w:jc w:val="both"/>
      </w:pPr>
      <w:r w:rsidRPr="00703B3C">
        <w:t>{</w:t>
      </w:r>
      <w:r>
        <w:t>1</w:t>
      </w:r>
      <w:r w:rsidRPr="00536E09">
        <w:t>}</w:t>
      </w:r>
      <w:r w:rsidRPr="00703B3C">
        <w:t xml:space="preserve"> </w:t>
      </w:r>
      <w:r w:rsidR="002E063A">
        <w:t>Организация - получатель субсидии открывает лицевой счет для учета операций со средствами юридических лиц (их обособленных подразделений), не являющихся участниками бюджетного процесса, в территориальном органе Федерального казначейства, если иное не установлено бюджетным законодательством Российской Федерации.</w:t>
      </w:r>
      <w:r w:rsidRPr="004867BA">
        <w:t xml:space="preserve"> </w:t>
      </w:r>
      <w:r w:rsidRPr="00703B3C">
        <w:t>{</w:t>
      </w:r>
      <w:r>
        <w:t>1</w:t>
      </w:r>
      <w:r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26. </w:t>
      </w:r>
      <w:r w:rsidR="00791E0C" w:rsidRPr="00703B3C">
        <w:t>{</w:t>
      </w:r>
      <w:r w:rsidR="00791E0C">
        <w:t>36</w:t>
      </w:r>
      <w:r w:rsidR="00791E0C" w:rsidRPr="00536E09">
        <w:t>}</w:t>
      </w:r>
      <w:r w:rsidR="00791E0C" w:rsidRPr="00703B3C">
        <w:t xml:space="preserve"> </w:t>
      </w:r>
      <w:r>
        <w:t>Для подтверждения целевого использования денежных средств, а также для оценки эффективности использования субсидии организация - получатель субсидии не позднее 20-го рабочего дня года, следующего за отчетным, представляет в Министерство цифрового развития, связи и массовых коммуникаций Российской Федерации:</w:t>
      </w:r>
      <w:r w:rsidR="00791E0C" w:rsidRPr="00791E0C">
        <w:t xml:space="preserve"> </w:t>
      </w:r>
      <w:r w:rsidR="00791E0C" w:rsidRPr="00703B3C">
        <w:t>{</w:t>
      </w:r>
      <w:r w:rsidR="00791E0C">
        <w:t>36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791E0C" w:rsidRPr="00703B3C">
        <w:t>{</w:t>
      </w:r>
      <w:r w:rsidR="00791E0C">
        <w:t>36</w:t>
      </w:r>
      <w:r w:rsidR="00791E0C" w:rsidRPr="00536E09">
        <w:t>}</w:t>
      </w:r>
      <w:r w:rsidR="00791E0C" w:rsidRPr="00703B3C">
        <w:t xml:space="preserve"> </w:t>
      </w:r>
      <w:r>
        <w:t>отчет о расходах, источником финансового обеспечения которых является субсидия;</w:t>
      </w:r>
      <w:r w:rsidR="00791E0C" w:rsidRPr="00791E0C">
        <w:t xml:space="preserve"> </w:t>
      </w:r>
      <w:r w:rsidR="00791E0C" w:rsidRPr="00703B3C">
        <w:t>{</w:t>
      </w:r>
      <w:r w:rsidR="00791E0C">
        <w:t>36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791E0C" w:rsidRPr="00703B3C">
        <w:t>{</w:t>
      </w:r>
      <w:r w:rsidR="00791E0C">
        <w:t>36</w:t>
      </w:r>
      <w:r w:rsidR="00791E0C" w:rsidRPr="00536E09">
        <w:t>}</w:t>
      </w:r>
      <w:r w:rsidR="00791E0C" w:rsidRPr="00703B3C">
        <w:t xml:space="preserve"> </w:t>
      </w:r>
      <w:r>
        <w:t>отчет о достижении результатов предоставления субсидии;</w:t>
      </w:r>
      <w:r w:rsidR="00791E0C" w:rsidRPr="00791E0C">
        <w:t xml:space="preserve"> </w:t>
      </w:r>
      <w:r w:rsidR="00791E0C" w:rsidRPr="00703B3C">
        <w:t>{</w:t>
      </w:r>
      <w:r w:rsidR="00791E0C">
        <w:t>36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в) </w:t>
      </w:r>
      <w:r w:rsidR="00791E0C" w:rsidRPr="00703B3C">
        <w:t>{</w:t>
      </w:r>
      <w:r w:rsidR="00791E0C">
        <w:t>36</w:t>
      </w:r>
      <w:r w:rsidR="00791E0C" w:rsidRPr="00536E09">
        <w:t>}</w:t>
      </w:r>
      <w:r w:rsidR="00791E0C" w:rsidRPr="00703B3C">
        <w:t xml:space="preserve"> </w:t>
      </w:r>
      <w:r>
        <w:t xml:space="preserve">дополнительные отчеты в соответствии с формами, установленными в соглашении </w:t>
      </w:r>
      <w:r>
        <w:lastRenderedPageBreak/>
        <w:t>Министерством цифрового развития, связи и массовых коммуникаций Российской Федерации.</w:t>
      </w:r>
      <w:r w:rsidR="00791E0C" w:rsidRPr="00791E0C">
        <w:t xml:space="preserve"> </w:t>
      </w:r>
      <w:r w:rsidR="00791E0C" w:rsidRPr="00703B3C">
        <w:t>{</w:t>
      </w:r>
      <w:r w:rsidR="00791E0C">
        <w:t>36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27. </w:t>
      </w:r>
      <w:r w:rsidR="00791E0C" w:rsidRPr="00703B3C">
        <w:t>{</w:t>
      </w:r>
      <w:r w:rsidR="00791E0C">
        <w:t>35</w:t>
      </w:r>
      <w:r w:rsidR="00791E0C" w:rsidRPr="00536E09">
        <w:t>}</w:t>
      </w:r>
      <w:r w:rsidR="00791E0C" w:rsidRPr="00703B3C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организацией целей, условий и порядка предоставления субсидии, установленных настоящими Правилами и соглашением.</w:t>
      </w:r>
      <w:r w:rsidR="00791E0C" w:rsidRPr="00791E0C">
        <w:t xml:space="preserve"> </w:t>
      </w:r>
      <w:r w:rsidR="00791E0C" w:rsidRPr="00703B3C">
        <w:t>{</w:t>
      </w:r>
      <w:r w:rsidR="00791E0C">
        <w:t>35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28. </w:t>
      </w:r>
      <w:r w:rsidR="00791E0C" w:rsidRPr="00703B3C">
        <w:t>{</w:t>
      </w:r>
      <w:r w:rsidR="00791E0C">
        <w:t>38</w:t>
      </w:r>
      <w:r w:rsidR="00791E0C" w:rsidRPr="00536E09">
        <w:t>}</w:t>
      </w:r>
      <w:r w:rsidR="00791E0C" w:rsidRPr="00703B3C">
        <w:t xml:space="preserve"> </w:t>
      </w:r>
      <w:r>
        <w:t xml:space="preserve"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 факта несоблюдения организацией - получателем субсидии целей, условий и (или) порядка предоставления субсидии, а также </w:t>
      </w:r>
      <w:proofErr w:type="spellStart"/>
      <w:r>
        <w:t>недостижения</w:t>
      </w:r>
      <w:proofErr w:type="spellEnd"/>
      <w:r>
        <w:t xml:space="preserve"> значения результатов предоставления субсидии, установленных </w:t>
      </w:r>
      <w:hyperlink w:anchor="P125" w:history="1">
        <w:r>
          <w:rPr>
            <w:color w:val="0000FF"/>
          </w:rPr>
          <w:t>пунктом 20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размере, определенном в соглашении, на основании:</w:t>
      </w:r>
      <w:r w:rsidR="00791E0C" w:rsidRPr="00791E0C">
        <w:t xml:space="preserve"> </w:t>
      </w:r>
      <w:r w:rsidR="00791E0C" w:rsidRPr="00703B3C">
        <w:t>{</w:t>
      </w:r>
      <w:r w:rsidR="00791E0C">
        <w:t>38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а) </w:t>
      </w:r>
      <w:r w:rsidR="00791E0C" w:rsidRPr="00703B3C">
        <w:t>{</w:t>
      </w:r>
      <w:r w:rsidR="00791E0C">
        <w:t>37</w:t>
      </w:r>
      <w:r w:rsidR="00791E0C" w:rsidRPr="00536E09">
        <w:t>}</w:t>
      </w:r>
      <w:r w:rsidR="00791E0C" w:rsidRPr="00703B3C">
        <w:t xml:space="preserve">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организацией указанного требования;</w:t>
      </w:r>
      <w:r w:rsidR="00791E0C" w:rsidRPr="00791E0C">
        <w:t xml:space="preserve"> </w:t>
      </w:r>
      <w:r w:rsidR="00791E0C" w:rsidRPr="00703B3C">
        <w:t>{</w:t>
      </w:r>
      <w:r w:rsidR="00791E0C">
        <w:t>37</w:t>
      </w:r>
      <w:r w:rsidR="00791E0C" w:rsidRPr="00536E09">
        <w:t>}</w:t>
      </w:r>
    </w:p>
    <w:p w:rsidR="002E063A" w:rsidRDefault="002E063A">
      <w:pPr>
        <w:pStyle w:val="ConsPlusNormal"/>
        <w:spacing w:before="220"/>
        <w:ind w:firstLine="540"/>
        <w:jc w:val="both"/>
      </w:pPr>
      <w:r>
        <w:t xml:space="preserve">б) </w:t>
      </w:r>
      <w:r w:rsidR="00791E0C" w:rsidRPr="00703B3C">
        <w:t>{</w:t>
      </w:r>
      <w:r w:rsidR="00791E0C">
        <w:t>37</w:t>
      </w:r>
      <w:r w:rsidR="00791E0C" w:rsidRPr="00536E09">
        <w:t>}</w:t>
      </w:r>
      <w:r w:rsidR="00791E0C" w:rsidRPr="00703B3C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91E0C" w:rsidRPr="00791E0C">
        <w:t xml:space="preserve"> </w:t>
      </w:r>
      <w:r w:rsidR="00791E0C" w:rsidRPr="00703B3C">
        <w:t>{</w:t>
      </w:r>
      <w:r w:rsidR="00791E0C">
        <w:t>37</w:t>
      </w:r>
      <w:r w:rsidR="00791E0C" w:rsidRPr="00536E09">
        <w:t>}</w:t>
      </w: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jc w:val="both"/>
      </w:pPr>
    </w:p>
    <w:p w:rsidR="002E063A" w:rsidRDefault="002E063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20D4E" w:rsidRDefault="00C20D4E"/>
    <w:sectPr w:rsidR="00C20D4E" w:rsidSect="00703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E063A"/>
    <w:rsid w:val="000277EE"/>
    <w:rsid w:val="001A64D8"/>
    <w:rsid w:val="002E063A"/>
    <w:rsid w:val="004867BA"/>
    <w:rsid w:val="00536E09"/>
    <w:rsid w:val="00544A4B"/>
    <w:rsid w:val="00703B3C"/>
    <w:rsid w:val="00791E0C"/>
    <w:rsid w:val="00C20D4E"/>
    <w:rsid w:val="00E0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06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E06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E063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06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E06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E063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4C33E8E6BBBA783174F7EF7C28BC7C2F8FE294BE9F6FB7F4AF60D749FAA081098B9789182A69213E234AC8B28965E9DCB7EFB12956DEFA2fFE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4C33E8E6BBBA783174F7EF7C28BC7C2F8FF2B48EAF7FB7F4AF60D749FAA081098B9789182A69212E434AC8B28965E9DCB7EFB12956DEFA2fFEE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4C33E8E6BBBA783174F7EF7C28BC7C2FFF72F4DE8F6FB7F4AF60D749FAA081098B9789182A59A18B06EBC8F61C15A81C264E5148B6DfEEDK" TargetMode="External"/><Relationship Id="rId11" Type="http://schemas.microsoft.com/office/2007/relationships/stylesWithEffects" Target="stylesWithEffects.xml"/><Relationship Id="rId5" Type="http://schemas.openxmlformats.org/officeDocument/2006/relationships/hyperlink" Target="consultantplus://offline/ref=F4C33E8E6BBBA783174F7EF7C28BC7C2F8F52E4FE2FBFB7F4AF60D749FAA08108AB9209D80AF8C13E021FADA6EfCE1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3711</Words>
  <Characters>21156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2022-06-13T16:03:00Z</dcterms:created>
  <dcterms:modified xsi:type="dcterms:W3CDTF">2022-07-21T08:30:00Z</dcterms:modified>
</cp:coreProperties>
</file>