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7BB4F06" w:rsidR="00FF7B33" w:rsidRPr="00951C77" w:rsidRDefault="002C317D" w:rsidP="00951C77">
      <w:pPr>
        <w:pStyle w:val="Title"/>
      </w:pPr>
      <w:r>
        <w:t xml:space="preserve">Project </w:t>
      </w:r>
      <w:r w:rsidR="00ED0EBC">
        <w:t>8</w:t>
      </w:r>
      <w:r>
        <w:t xml:space="preserve">: </w:t>
      </w:r>
      <w:r w:rsidR="00ED0EBC">
        <w:t>Strategy</w:t>
      </w:r>
      <w:r>
        <w:t xml:space="preserve"> </w:t>
      </w:r>
      <w:r w:rsidR="00ED0EBC">
        <w:t>Evaluation</w:t>
      </w:r>
    </w:p>
    <w:p w14:paraId="5F871ED8" w14:textId="3D1DD350" w:rsidR="00FF7B33" w:rsidRPr="00FF7B33" w:rsidRDefault="002C317D" w:rsidP="00126D77">
      <w:pPr>
        <w:pStyle w:val="Subtitle"/>
      </w:pPr>
      <w:r>
        <w:t>Nathan Riojas</w:t>
      </w:r>
      <w:r w:rsidR="00FF7B33">
        <w:br/>
      </w:r>
      <w:r>
        <w:rPr>
          <w:rFonts w:ascii="Helvetica" w:hAnsi="Helvetica"/>
          <w:color w:val="222222"/>
          <w:sz w:val="21"/>
          <w:szCs w:val="21"/>
          <w:shd w:val="clear" w:color="auto" w:fill="FFFFFF"/>
        </w:rPr>
        <w:t>nathanriojas</w:t>
      </w:r>
      <w:r w:rsidR="00FF7B33" w:rsidRPr="00FF7B33">
        <w:t>@</w:t>
      </w:r>
      <w:r w:rsidR="00FD25E7">
        <w:t>gatech.edu</w:t>
      </w:r>
    </w:p>
    <w:p w14:paraId="77C7DD8E" w14:textId="1740D781" w:rsidR="00D5034D" w:rsidRPr="009B7A17" w:rsidRDefault="00777D5A" w:rsidP="00B4491E">
      <w:pPr>
        <w:pStyle w:val="Heading1"/>
      </w:pPr>
      <w:r>
        <w:t>Introduction</w:t>
      </w:r>
    </w:p>
    <w:p w14:paraId="710A2928" w14:textId="2DB52013" w:rsidR="008F2FCB" w:rsidRDefault="008616F9" w:rsidP="00CC25B3">
      <w:r>
        <w:t xml:space="preserve">This paper investigates the behavior of decision trees, random trees, and ensemble learners over the course of three experiments with the Istanbul.csv dataset. </w:t>
      </w:r>
    </w:p>
    <w:p w14:paraId="30BF1B59" w14:textId="2633B546" w:rsidR="008616F9" w:rsidRDefault="008616F9" w:rsidP="008616F9">
      <w:pPr>
        <w:pStyle w:val="Heading2"/>
      </w:pPr>
      <w:r>
        <w:t xml:space="preserve">Note </w:t>
      </w:r>
      <w:r w:rsidR="0077769A">
        <w:t>o</w:t>
      </w:r>
      <w:r>
        <w:t xml:space="preserve">n </w:t>
      </w:r>
      <w:proofErr w:type="gramStart"/>
      <w:r>
        <w:t>Regression</w:t>
      </w:r>
      <w:proofErr w:type="gramEnd"/>
      <w:r>
        <w:t xml:space="preserve"> </w:t>
      </w:r>
    </w:p>
    <w:p w14:paraId="2E88F1AF" w14:textId="427F2370" w:rsidR="008616F9" w:rsidRDefault="008616F9" w:rsidP="008616F9">
      <w:r>
        <w:t xml:space="preserve">While tree learners are often used to solve classification problems, the implementations here solve regression problems. As such, the mean of training y values is used when data is aggregated to create leaves. However, were this a classification problem, </w:t>
      </w:r>
      <w:r w:rsidR="0077769A">
        <w:t>the approach would call for the use of the mode instead of the mean.</w:t>
      </w:r>
    </w:p>
    <w:p w14:paraId="2BF07166" w14:textId="663AD88D" w:rsidR="00495608" w:rsidRDefault="000B5FBE" w:rsidP="00495608">
      <w:pPr>
        <w:pStyle w:val="Heading2"/>
      </w:pPr>
      <w:r>
        <w:t>Learner Summary</w:t>
      </w:r>
    </w:p>
    <w:p w14:paraId="0A24B463" w14:textId="60295584" w:rsidR="000B5FBE" w:rsidRDefault="006F6C3C" w:rsidP="000B5FBE">
      <w:r>
        <w:t>D</w:t>
      </w:r>
      <w:r w:rsidR="000B5FBE">
        <w:t xml:space="preserve">ecision trees </w:t>
      </w:r>
      <w:r w:rsidR="0037386C">
        <w:t>we</w:t>
      </w:r>
      <w:r w:rsidR="000B5FBE">
        <w:t xml:space="preserve">re implemented using an algorithm developed by JR Quinlan which recursively builds a tree given training data. This type of tree creates nodes by selecting the median of the feature having the highest correlation with the training y values, and continuously </w:t>
      </w:r>
      <w:r w:rsidR="00E03293">
        <w:t>does</w:t>
      </w:r>
      <w:r w:rsidR="000B5FBE">
        <w:t xml:space="preserve"> this until the </w:t>
      </w:r>
      <w:r>
        <w:t>recursive splits</w:t>
      </w:r>
      <w:r w:rsidR="000B5FBE">
        <w:t xml:space="preserve"> arrive at a leaf node. </w:t>
      </w:r>
      <w:r w:rsidR="0037386C">
        <w:t>The built tree c</w:t>
      </w:r>
      <w:r w:rsidR="00B71022">
        <w:t>ould</w:t>
      </w:r>
      <w:r w:rsidR="0037386C">
        <w:t xml:space="preserve"> then be queried to give the expected result for an instance or several instances of testing data. </w:t>
      </w:r>
    </w:p>
    <w:p w14:paraId="3D28FD67" w14:textId="183B23F2" w:rsidR="000B5FBE" w:rsidRDefault="006F6C3C" w:rsidP="000B5FBE">
      <w:r>
        <w:t>R</w:t>
      </w:r>
      <w:r w:rsidR="000B5FBE">
        <w:t xml:space="preserve">andom trees </w:t>
      </w:r>
      <w:r w:rsidR="0037386C">
        <w:t>we</w:t>
      </w:r>
      <w:r w:rsidR="000B5FBE">
        <w:t>re built</w:t>
      </w:r>
      <w:r w:rsidR="0037386C">
        <w:t xml:space="preserve"> </w:t>
      </w:r>
      <w:r w:rsidR="000B5FBE">
        <w:t xml:space="preserve">in a similar manner as decision trees, except the feature </w:t>
      </w:r>
      <w:r w:rsidR="00B71022">
        <w:t>chosen</w:t>
      </w:r>
      <w:r w:rsidR="000B5FBE">
        <w:t xml:space="preserve"> when selecting the median to create a node to further branch the tree </w:t>
      </w:r>
      <w:r w:rsidR="00B71022">
        <w:t>wa</w:t>
      </w:r>
      <w:r w:rsidR="000B5FBE">
        <w:t xml:space="preserve">s randomly selected, not requiring </w:t>
      </w:r>
      <w:r w:rsidR="00E03293">
        <w:t xml:space="preserve">the </w:t>
      </w:r>
      <w:r w:rsidR="000B5FBE">
        <w:t>correlation calculations of each column with the training y data.</w:t>
      </w:r>
      <w:r w:rsidR="0037386C">
        <w:t xml:space="preserve"> This result</w:t>
      </w:r>
      <w:r w:rsidR="00B71022">
        <w:t>ed</w:t>
      </w:r>
      <w:r w:rsidR="0037386C">
        <w:t xml:space="preserve"> in the tree being built differently than it </w:t>
      </w:r>
      <w:r w:rsidR="00E03293">
        <w:t>was</w:t>
      </w:r>
      <w:r w:rsidR="0037386C">
        <w:t xml:space="preserve"> for a decision tree. Querying random trees </w:t>
      </w:r>
      <w:r w:rsidR="00B71022">
        <w:t>wa</w:t>
      </w:r>
      <w:r w:rsidR="0037386C">
        <w:t xml:space="preserve">s the same process as it </w:t>
      </w:r>
      <w:r w:rsidR="00B71022">
        <w:t>wa</w:t>
      </w:r>
      <w:r w:rsidR="0037386C">
        <w:t>s for decision trees.</w:t>
      </w:r>
    </w:p>
    <w:p w14:paraId="2167BD5E" w14:textId="77777777" w:rsidR="00E03293" w:rsidRDefault="006F6C3C" w:rsidP="000B5FBE">
      <w:r>
        <w:t>E</w:t>
      </w:r>
      <w:r w:rsidR="000B5FBE">
        <w:t xml:space="preserve">nsemble learners </w:t>
      </w:r>
      <w:r w:rsidR="00B71022">
        <w:t>were</w:t>
      </w:r>
      <w:r w:rsidR="000B5FBE">
        <w:t xml:space="preserve"> implemented using </w:t>
      </w:r>
      <w:proofErr w:type="spellStart"/>
      <w:r w:rsidR="000B5FBE">
        <w:t>boostrap</w:t>
      </w:r>
      <w:proofErr w:type="spellEnd"/>
      <w:r w:rsidR="000B5FBE">
        <w:t xml:space="preserve"> aggregating or bagging. These learners </w:t>
      </w:r>
      <w:r w:rsidR="00B71022">
        <w:t>were</w:t>
      </w:r>
      <w:r w:rsidR="000B5FBE">
        <w:t xml:space="preserve"> given an input number of bags </w:t>
      </w:r>
      <w:r w:rsidR="00B71022">
        <w:t xml:space="preserve">or instances </w:t>
      </w:r>
      <w:r w:rsidR="000B5FBE">
        <w:t>to make of a specific learner. In this investigation</w:t>
      </w:r>
      <w:r w:rsidR="00B71022">
        <w:t>,</w:t>
      </w:r>
      <w:r w:rsidR="000B5FBE">
        <w:t xml:space="preserve"> the size of </w:t>
      </w:r>
      <w:r w:rsidR="00B71022">
        <w:t xml:space="preserve">the data the bag learner passed to </w:t>
      </w:r>
      <w:r w:rsidR="00E03293">
        <w:t>a</w:t>
      </w:r>
      <w:r w:rsidR="00B71022">
        <w:t xml:space="preserve"> specified bag </w:t>
      </w:r>
      <w:r w:rsidR="000B5FBE">
        <w:t xml:space="preserve">(commonly referred to as n’) </w:t>
      </w:r>
      <w:r w:rsidR="00B71022">
        <w:t>wa</w:t>
      </w:r>
      <w:r w:rsidR="000B5FBE">
        <w:t xml:space="preserve">s equal to </w:t>
      </w:r>
      <w:r w:rsidR="00B71022">
        <w:t xml:space="preserve">the </w:t>
      </w:r>
      <w:r w:rsidR="000B5FBE">
        <w:t xml:space="preserve">training data size n.  </w:t>
      </w:r>
    </w:p>
    <w:p w14:paraId="2F28824F" w14:textId="3CB6807B" w:rsidR="000B5FBE" w:rsidRDefault="000B5FBE" w:rsidP="000B5FBE">
      <w:r>
        <w:lastRenderedPageBreak/>
        <w:t>Th</w:t>
      </w:r>
      <w:r w:rsidR="00E03293">
        <w:t>e data passed to the learner within the bag</w:t>
      </w:r>
      <w:r w:rsidR="00B71022">
        <w:t xml:space="preserve"> however was crea</w:t>
      </w:r>
      <w:r>
        <w:t xml:space="preserve">ted by randomly sampling the </w:t>
      </w:r>
      <w:r w:rsidR="006F6C3C">
        <w:t xml:space="preserve">input training </w:t>
      </w:r>
      <w:r>
        <w:t>data with replacement. Thus</w:t>
      </w:r>
      <w:r w:rsidR="006F6C3C">
        <w:t>,</w:t>
      </w:r>
      <w:r w:rsidR="00B71022">
        <w:t xml:space="preserve"> when</w:t>
      </w:r>
      <w:r>
        <w:t xml:space="preserve"> querying </w:t>
      </w:r>
      <w:r w:rsidR="00B71022">
        <w:t>the</w:t>
      </w:r>
      <w:r>
        <w:t xml:space="preserve"> bag learner</w:t>
      </w:r>
      <w:r w:rsidR="00E03293">
        <w:t xml:space="preserve">, it </w:t>
      </w:r>
      <w:r>
        <w:t>queries the multiple learners or bags</w:t>
      </w:r>
      <w:r w:rsidR="00B71022">
        <w:t xml:space="preserve"> inside it, gathers the predicted values of each, and then returns the mean of said values</w:t>
      </w:r>
      <w:r>
        <w:t xml:space="preserve">. </w:t>
      </w:r>
    </w:p>
    <w:p w14:paraId="3B633790" w14:textId="6C1551F2" w:rsidR="00772CB2" w:rsidRPr="009B7A17" w:rsidRDefault="00ED0EBC" w:rsidP="00772CB2">
      <w:pPr>
        <w:pStyle w:val="Heading1"/>
      </w:pPr>
      <w:r>
        <w:t>Indicator Overview</w:t>
      </w:r>
    </w:p>
    <w:p w14:paraId="6857718B" w14:textId="3C0D805D" w:rsidR="00772CB2" w:rsidRDefault="00772CB2" w:rsidP="00772CB2">
      <w:r>
        <w:t xml:space="preserve">Three experiments were done to study these learners. All investigations were done comparing a specific metric against the learner in question </w:t>
      </w:r>
      <w:r w:rsidR="0077769A">
        <w:t>for different leaf sizes</w:t>
      </w:r>
      <w:r>
        <w:t xml:space="preserve">. </w:t>
      </w:r>
    </w:p>
    <w:p w14:paraId="7DABC05A" w14:textId="39D43A92" w:rsidR="00772CB2" w:rsidRDefault="00ED0EBC" w:rsidP="00772CB2">
      <w:pPr>
        <w:pStyle w:val="Heading2"/>
      </w:pPr>
      <w:r>
        <w:t>Price Per Simple Moving Average</w:t>
      </w:r>
    </w:p>
    <w:p w14:paraId="736F5E8E" w14:textId="47208C09" w:rsidR="00772CB2" w:rsidRDefault="00772CB2" w:rsidP="00772CB2">
      <w:r>
        <w:t>In the first experiment, 100 decision trees were trained and tested. The same data was used to train</w:t>
      </w:r>
      <w:r w:rsidR="0077769A">
        <w:t xml:space="preserve"> each of</w:t>
      </w:r>
      <w:r>
        <w:t xml:space="preserve"> these trees, however, each tree varied in its leaf size (from 1 to 100).</w:t>
      </w:r>
      <w:r w:rsidR="008616F9">
        <w:t xml:space="preserve"> </w:t>
      </w:r>
      <w:r w:rsidR="0077769A">
        <w:t>The metric studied here was</w:t>
      </w:r>
      <w:r w:rsidR="00C532BA">
        <w:t xml:space="preserve"> the</w:t>
      </w:r>
      <w:r w:rsidR="0077769A">
        <w:t xml:space="preserve"> root mean square error or RMSE</w:t>
      </w:r>
      <w:r w:rsidR="00C532BA">
        <w:t xml:space="preserve">, which </w:t>
      </w:r>
      <w:r w:rsidR="007C4246">
        <w:t>wa</w:t>
      </w:r>
      <w:r w:rsidR="00C532BA">
        <w:t>s calculated using the formula below.</w:t>
      </w:r>
    </w:p>
    <w:p w14:paraId="0E61B0CB" w14:textId="4CB7A02C" w:rsidR="00C532BA" w:rsidRDefault="00C532BA" w:rsidP="00C532BA">
      <w:pPr>
        <w:spacing w:line="240" w:lineRule="auto"/>
        <w:jc w:val="center"/>
      </w:pPr>
      <w:r>
        <w:rPr>
          <w:noProof/>
        </w:rPr>
        <w:drawing>
          <wp:inline distT="0" distB="0" distL="0" distR="0" wp14:anchorId="1975B576" wp14:editId="49846028">
            <wp:extent cx="1819275" cy="568759"/>
            <wp:effectExtent l="0" t="0" r="0" b="3175"/>
            <wp:docPr id="7" name="Picture 7" descr="Image result for root mean square err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root mean square error formu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1632" cy="585127"/>
                    </a:xfrm>
                    <a:prstGeom prst="rect">
                      <a:avLst/>
                    </a:prstGeom>
                    <a:noFill/>
                    <a:ln>
                      <a:noFill/>
                    </a:ln>
                  </pic:spPr>
                </pic:pic>
              </a:graphicData>
            </a:graphic>
          </wp:inline>
        </w:drawing>
      </w:r>
    </w:p>
    <w:p w14:paraId="4815716B" w14:textId="02E3C962" w:rsidR="0042394A" w:rsidRDefault="00C532BA" w:rsidP="00772CB2">
      <w:r>
        <w:t>This was done for both in sample and out of sample data by querying the trained tree with training and testing data</w:t>
      </w:r>
      <w:r w:rsidR="0042394A">
        <w:t xml:space="preserve">, and subsequently measuring the RMSE of the output against the expected </w:t>
      </w:r>
      <w:r w:rsidR="007C4246">
        <w:t xml:space="preserve">training and testing </w:t>
      </w:r>
      <w:r w:rsidR="0042394A">
        <w:t>results</w:t>
      </w:r>
      <w:r w:rsidR="007C4246">
        <w:t>, respectively</w:t>
      </w:r>
      <w:r>
        <w:t xml:space="preserve">. </w:t>
      </w:r>
    </w:p>
    <w:p w14:paraId="3E71A6E4" w14:textId="08220AF2" w:rsidR="0077769A" w:rsidRDefault="0042394A" w:rsidP="00772CB2">
      <w:r>
        <w:t xml:space="preserve">Since </w:t>
      </w:r>
      <w:r w:rsidR="00C532BA">
        <w:t>RMSE is a metric that is useful for determining the overall goodness of fit of a model</w:t>
      </w:r>
      <w:r>
        <w:t>, t</w:t>
      </w:r>
      <w:r w:rsidR="00C532BA">
        <w:t>o better understand the accuracy of decision trees, the 100 trees of varying leaf size were plotted against their RSME. This provided a better understanding of how</w:t>
      </w:r>
      <w:r w:rsidR="007A078D">
        <w:t xml:space="preserve"> leaf size affected accuracy, in sample and out of sample. From this plot, the region of overfitting was </w:t>
      </w:r>
      <w:r>
        <w:t xml:space="preserve">able to be </w:t>
      </w:r>
      <w:r w:rsidR="007A078D">
        <w:t>determined.</w:t>
      </w:r>
    </w:p>
    <w:p w14:paraId="128B555D" w14:textId="0D41266B" w:rsidR="00772CB2" w:rsidRDefault="00ED0EBC" w:rsidP="00772CB2">
      <w:pPr>
        <w:pStyle w:val="Heading2"/>
      </w:pPr>
      <w:r>
        <w:t>Bollinger Band Percentage</w:t>
      </w:r>
    </w:p>
    <w:p w14:paraId="2D62F119" w14:textId="77777777" w:rsidR="007C4246" w:rsidRDefault="00BC4952" w:rsidP="00772CB2">
      <w:r>
        <w:t>This experiment was virtually identical to experiment 1, with the caveat that instead of a single decision tree at each leaf size, 20 trees or bags were created. This was the application of a bagging learner. The default number of bags selected in this experiment was 20, however, this number was arbitrary and could be increased or decreased as desired.</w:t>
      </w:r>
    </w:p>
    <w:p w14:paraId="4DDD3B0A" w14:textId="56CBC0F6" w:rsidR="007211C2" w:rsidRDefault="007C4246" w:rsidP="00772CB2">
      <w:r>
        <w:lastRenderedPageBreak/>
        <w:t>As an example, i</w:t>
      </w:r>
      <w:r w:rsidR="00BC4952">
        <w:t xml:space="preserve">n the instance of a leaf size of 50, a bag learner was created with the specification of making 20 bags or instances of decision trees. Each tree would then be initialized with the hyperparameter of leaf size set to 50. </w:t>
      </w:r>
    </w:p>
    <w:p w14:paraId="06569A4B" w14:textId="2C6B4EDA" w:rsidR="00772CB2" w:rsidRDefault="00BC4952" w:rsidP="00772CB2">
      <w:r>
        <w:t>The da</w:t>
      </w:r>
      <w:r w:rsidR="007211C2">
        <w:t>ta each</w:t>
      </w:r>
      <w:r w:rsidR="007C4246">
        <w:t xml:space="preserve"> decision</w:t>
      </w:r>
      <w:r w:rsidR="007211C2">
        <w:t xml:space="preserve"> tree</w:t>
      </w:r>
      <w:r w:rsidR="007C4246">
        <w:t xml:space="preserve"> within the bagging learner</w:t>
      </w:r>
      <w:r w:rsidR="007211C2">
        <w:t xml:space="preserve"> was trained on varied however as this is how bagging works. The data given to the bag learner to train on was randomly sampled with replacement and then given to each bag instance of the decision tree to train on and develop its tree. The size of data randomly sampled was specified to be the same as the data input. The variation that occurred was a result of sampling with replacement, meaning duplicate values of data could occur. </w:t>
      </w:r>
      <w:r w:rsidR="007C4246">
        <w:t>Hence, the 20 bags of decision trees were trained on different versions of the training data.</w:t>
      </w:r>
    </w:p>
    <w:p w14:paraId="1132ED4A" w14:textId="0945A908" w:rsidR="007211C2" w:rsidRDefault="007211C2" w:rsidP="00772CB2">
      <w:r>
        <w:t xml:space="preserve">The same style of plot was generated to study bagging learners and overfitting: RMSE vs leaf size. </w:t>
      </w:r>
    </w:p>
    <w:p w14:paraId="4369E9FD" w14:textId="7681B1BC" w:rsidR="00772CB2" w:rsidRDefault="00ED0EBC" w:rsidP="00772CB2">
      <w:pPr>
        <w:pStyle w:val="Heading2"/>
      </w:pPr>
      <w:r>
        <w:t>Momentum</w:t>
      </w:r>
    </w:p>
    <w:p w14:paraId="1A09CBA1" w14:textId="1FC563A2" w:rsidR="00677D89" w:rsidRDefault="007211C2" w:rsidP="000B5FBE">
      <w:r>
        <w:t xml:space="preserve">This experiment diverged from the study of overfitting and instead aimed to </w:t>
      </w:r>
      <w:r w:rsidR="007C4246">
        <w:t xml:space="preserve">compare decision trees and random trees. </w:t>
      </w:r>
      <w:r w:rsidR="00677D89">
        <w:t>Two metrics were used to accomplish this. The first being the Mean Absolute Error (MAE) as calculated below.</w:t>
      </w:r>
    </w:p>
    <w:p w14:paraId="473E11A1" w14:textId="5C06ADAB" w:rsidR="00677D89" w:rsidRDefault="00677D89" w:rsidP="00677D89">
      <w:pPr>
        <w:spacing w:line="240" w:lineRule="auto"/>
        <w:jc w:val="center"/>
      </w:pPr>
      <w:r>
        <w:rPr>
          <w:noProof/>
        </w:rPr>
        <w:drawing>
          <wp:inline distT="0" distB="0" distL="0" distR="0" wp14:anchorId="77DEF43C" wp14:editId="752D1FA1">
            <wp:extent cx="1695450" cy="484414"/>
            <wp:effectExtent l="0" t="0" r="0" b="0"/>
            <wp:docPr id="2" name="Picture 2" descr="Image result for mean absolute erro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ean absolute error defin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675" cy="514192"/>
                    </a:xfrm>
                    <a:prstGeom prst="rect">
                      <a:avLst/>
                    </a:prstGeom>
                    <a:noFill/>
                    <a:ln>
                      <a:noFill/>
                    </a:ln>
                  </pic:spPr>
                </pic:pic>
              </a:graphicData>
            </a:graphic>
          </wp:inline>
        </w:drawing>
      </w:r>
      <w:r>
        <w:rPr>
          <w:noProof/>
        </w:rPr>
        <w:t xml:space="preserve"> </w:t>
      </w:r>
    </w:p>
    <w:p w14:paraId="45D3BD6F" w14:textId="672497E2" w:rsidR="00677D89" w:rsidRDefault="00677D89" w:rsidP="00677D89">
      <w:r>
        <w:t xml:space="preserve">Compared to RMSE, MAE more directly represents the cumulation of error. While mean square error tends to heavily penalize large prediction error, MAE treats all error the same. </w:t>
      </w:r>
      <w:proofErr w:type="gramStart"/>
      <w:r>
        <w:t>With this in mind, the</w:t>
      </w:r>
      <w:proofErr w:type="gramEnd"/>
      <w:r>
        <w:t xml:space="preserve"> MAE </w:t>
      </w:r>
      <w:r w:rsidR="00E330F2">
        <w:t>for</w:t>
      </w:r>
      <w:r>
        <w:t xml:space="preserve"> expected y values versus predicted y values of decision tree and random tree models was calculated in sample and out of sample</w:t>
      </w:r>
      <w:r w:rsidR="00E330F2">
        <w:t xml:space="preserve"> and plotted against leaf size</w:t>
      </w:r>
      <w:r>
        <w:t>.</w:t>
      </w:r>
    </w:p>
    <w:p w14:paraId="3A2D0A3B" w14:textId="77777777" w:rsidR="00681264" w:rsidRDefault="00677D89" w:rsidP="00677D89">
      <w:r>
        <w:t>The second metric used to compare</w:t>
      </w:r>
      <w:r w:rsidR="00333E11">
        <w:t xml:space="preserve"> decision trees and random trees was </w:t>
      </w:r>
      <w:r w:rsidR="00E330F2">
        <w:t>time, specifically training time. Perhaps the biggest disadvantage to using tree algorithms for machine learning, is the time it takes to train in comparison to say a linear regression model.</w:t>
      </w:r>
      <w:r w:rsidR="00681264">
        <w:t xml:space="preserve"> Querying time is </w:t>
      </w:r>
      <w:proofErr w:type="gramStart"/>
      <w:r w:rsidR="00681264">
        <w:t>actually pretty</w:t>
      </w:r>
      <w:proofErr w:type="gramEnd"/>
      <w:r w:rsidR="00681264">
        <w:t xml:space="preserve"> fast, assuming the tree is able to remain relatively balanced.</w:t>
      </w:r>
      <w:r w:rsidR="00E330F2">
        <w:t xml:space="preserve"> It is therefore of great interest to understand ways to improve the training time, especially if exceptionally large datasets are to be used. </w:t>
      </w:r>
    </w:p>
    <w:p w14:paraId="59BD4843" w14:textId="079B68D3" w:rsidR="00677D89" w:rsidRDefault="00E330F2" w:rsidP="00677D89">
      <w:r>
        <w:lastRenderedPageBreak/>
        <w:t>In order obtain this metric, Python’s time module was used to take the time before and after executing the training function (called add evidence in this paper’s implementation)</w:t>
      </w:r>
      <w:r w:rsidR="00681264">
        <w:t xml:space="preserve"> and subtract the two to get the total training time</w:t>
      </w:r>
      <w:r>
        <w:t>. This was plotted against leaf size for both decision trees and random trees.</w:t>
      </w:r>
    </w:p>
    <w:p w14:paraId="7C9A8490" w14:textId="6DEA18A0" w:rsidR="00FB6E06" w:rsidRDefault="003B195A" w:rsidP="00FB6E06">
      <w:pPr>
        <w:pStyle w:val="Heading1"/>
      </w:pPr>
      <w:r>
        <w:t>Manual Strategy</w:t>
      </w:r>
    </w:p>
    <w:p w14:paraId="48BF99DC" w14:textId="2175A88E" w:rsidR="003B195A" w:rsidRPr="003B195A" w:rsidRDefault="003B195A" w:rsidP="003B195A">
      <w:r>
        <w:t>This strategy does XYZ …some intro</w:t>
      </w:r>
    </w:p>
    <w:p w14:paraId="7D5FA26B" w14:textId="04B34EFE" w:rsidR="00FB6E06" w:rsidRDefault="003B195A" w:rsidP="00FB6E06">
      <w:pPr>
        <w:pStyle w:val="Heading2"/>
      </w:pPr>
      <w:r>
        <w:t>Benchmark</w:t>
      </w:r>
    </w:p>
    <w:p w14:paraId="41B8A6A9" w14:textId="3BEA7B5F" w:rsidR="003C3139" w:rsidRDefault="00B52FFC" w:rsidP="00FB6E06">
      <w:r>
        <w:t xml:space="preserve">Upon plotting RMSE vs leaf size for decision tree learners, as seen in Figure 1, it is apparent that the initial hypothesis regarding overfitting was correct. Overfitting is inversely proportional to leaf size. Based on the graph </w:t>
      </w:r>
      <w:proofErr w:type="gramStart"/>
      <w:r>
        <w:t>it can be seen that overfitting</w:t>
      </w:r>
      <w:proofErr w:type="gramEnd"/>
      <w:r>
        <w:t xml:space="preserve"> occurs for leaf sizes less than about 9. </w:t>
      </w:r>
    </w:p>
    <w:p w14:paraId="0FEA9D96" w14:textId="74E99996" w:rsidR="00CB3D03" w:rsidRDefault="001718B0" w:rsidP="00CB3D03">
      <w:pPr>
        <w:spacing w:line="240" w:lineRule="auto"/>
        <w:jc w:val="center"/>
      </w:pPr>
      <w:r>
        <w:rPr>
          <w:noProof/>
        </w:rPr>
        <w:drawing>
          <wp:inline distT="0" distB="0" distL="0" distR="0" wp14:anchorId="67C42442" wp14:editId="1BB9D9B3">
            <wp:extent cx="4400550" cy="3300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437" cy="3310077"/>
                    </a:xfrm>
                    <a:prstGeom prst="rect">
                      <a:avLst/>
                    </a:prstGeom>
                    <a:noFill/>
                    <a:ln>
                      <a:noFill/>
                    </a:ln>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1"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w:t>
      </w:r>
      <w:r w:rsidR="00F06BB2">
        <w:lastRenderedPageBreak/>
        <w:t>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32F9FADF" w:rsidR="00193F58" w:rsidRDefault="003B195A" w:rsidP="00193F58">
      <w:pPr>
        <w:pStyle w:val="Heading2"/>
      </w:pPr>
      <w:r>
        <w:t>Indicator Rules</w:t>
      </w:r>
    </w:p>
    <w:p w14:paraId="0C079D41" w14:textId="4DE214F5" w:rsidR="00B52FFC" w:rsidRDefault="00B52FFC" w:rsidP="00B52FFC">
      <w:r>
        <w:t xml:space="preserve">Interestingly, when plotting RMSE vs leaf size for </w:t>
      </w:r>
      <w:r w:rsidR="00D25776">
        <w:t xml:space="preserve">the </w:t>
      </w:r>
      <w:r>
        <w:t>bag</w:t>
      </w:r>
      <w:r w:rsidR="00D25776">
        <w:t xml:space="preserve"> </w:t>
      </w:r>
      <w:r>
        <w:t xml:space="preserve">learners, as seen in Figure 2, it appears that </w:t>
      </w:r>
      <w:r w:rsidR="00D25776">
        <w:t>the initial hypothesis that overfitting can be reduced using bagging was incorrect, or if correct, correct only to a marginal degree</w:t>
      </w:r>
      <w:r>
        <w:t xml:space="preserve">. </w:t>
      </w:r>
      <w:r w:rsidR="00D25776">
        <w:t>Overfitting can be observed prior to the point of intersection of the in sample and out of sample lines. This appears to occur up to a leaf size of around 9, the same as was observed in Experiment 1 for decision tree learners.</w:t>
      </w:r>
    </w:p>
    <w:p w14:paraId="470E0B35" w14:textId="3A30E7AB" w:rsidR="001718B0" w:rsidRDefault="001718B0" w:rsidP="001718B0">
      <w:pPr>
        <w:spacing w:line="240" w:lineRule="auto"/>
        <w:jc w:val="center"/>
      </w:pPr>
      <w:r>
        <w:rPr>
          <w:noProof/>
        </w:rPr>
        <w:drawing>
          <wp:inline distT="0" distB="0" distL="0" distR="0" wp14:anchorId="7AC0C222" wp14:editId="19DE4F5A">
            <wp:extent cx="4486275" cy="336810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4065" cy="3381461"/>
                    </a:xfrm>
                    <a:prstGeom prst="rect">
                      <a:avLst/>
                    </a:prstGeom>
                    <a:noFill/>
                    <a:ln>
                      <a:noFill/>
                    </a:ln>
                  </pic:spPr>
                </pic:pic>
              </a:graphicData>
            </a:graphic>
          </wp:inline>
        </w:drawing>
      </w:r>
    </w:p>
    <w:p w14:paraId="683615DF" w14:textId="2B3A33A1" w:rsidR="001718B0" w:rsidRDefault="001718B0" w:rsidP="00CE0563">
      <w:pPr>
        <w:pStyle w:val="FigureCaption"/>
        <w:numPr>
          <w:ilvl w:val="0"/>
          <w:numId w:val="49"/>
        </w:numPr>
      </w:pPr>
      <w:r>
        <w:t xml:space="preserve">Make sure your flowcharts are more useful than this one. Source: </w:t>
      </w:r>
      <w:hyperlink r:id="rId13" w:history="1">
        <w:r w:rsidRPr="001718B0">
          <w:rPr>
            <w:rStyle w:val="Hyperlink"/>
            <w:spacing w:val="11"/>
            <w14:numForm w14:val="lining"/>
          </w:rPr>
          <w:t>XKCD</w:t>
        </w:r>
      </w:hyperlink>
      <w:r>
        <w:t>.</w:t>
      </w:r>
    </w:p>
    <w:p w14:paraId="7B9562DC" w14:textId="1302F601" w:rsidR="00960205" w:rsidRDefault="003B195A" w:rsidP="00960205">
      <w:pPr>
        <w:pStyle w:val="Heading2"/>
      </w:pPr>
      <w:r>
        <w:lastRenderedPageBreak/>
        <w:t>Strategy Evaluation</w:t>
      </w:r>
    </w:p>
    <w:p w14:paraId="68B55ED5" w14:textId="148A1209" w:rsidR="001718B0" w:rsidRDefault="00D05454" w:rsidP="00D25776">
      <w:r>
        <w:t xml:space="preserve">Figure 3, Figure 4, and Figure 5 illustrates the comparison of the MAE of decision trees and random trees in sample and out of sample versus the leaf size. As expected, the random trees produce a highly scattered error trend, though it does seem to follow the same trend as decision trees. </w:t>
      </w:r>
    </w:p>
    <w:p w14:paraId="6C1B90E6" w14:textId="77777777" w:rsidR="001718B0" w:rsidRDefault="001718B0" w:rsidP="001718B0">
      <w:pPr>
        <w:spacing w:line="240" w:lineRule="auto"/>
        <w:jc w:val="center"/>
      </w:pPr>
      <w:r>
        <w:rPr>
          <w:noProof/>
        </w:rPr>
        <w:drawing>
          <wp:inline distT="0" distB="0" distL="0" distR="0" wp14:anchorId="21D0B229" wp14:editId="540E9EDF">
            <wp:extent cx="4324350" cy="3246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6663" cy="3270799"/>
                    </a:xfrm>
                    <a:prstGeom prst="rect">
                      <a:avLst/>
                    </a:prstGeom>
                    <a:noFill/>
                    <a:ln>
                      <a:noFill/>
                    </a:ln>
                  </pic:spPr>
                </pic:pic>
              </a:graphicData>
            </a:graphic>
          </wp:inline>
        </w:drawing>
      </w:r>
      <w:r w:rsidRPr="001718B0">
        <w:t xml:space="preserve"> </w:t>
      </w:r>
    </w:p>
    <w:p w14:paraId="7892A6B6" w14:textId="77777777" w:rsidR="001718B0" w:rsidRDefault="001718B0" w:rsidP="001718B0">
      <w:pPr>
        <w:pStyle w:val="FigureCaption"/>
        <w:numPr>
          <w:ilvl w:val="0"/>
          <w:numId w:val="50"/>
        </w:numPr>
      </w:pPr>
      <w:r>
        <w:t xml:space="preserve">Make sure your flowcharts are more useful than this one. Source: </w:t>
      </w:r>
      <w:hyperlink r:id="rId15" w:history="1">
        <w:r w:rsidRPr="001718B0">
          <w:rPr>
            <w:rStyle w:val="Hyperlink"/>
            <w:spacing w:val="11"/>
            <w14:numForm w14:val="lining"/>
          </w:rPr>
          <w:t>XKCD</w:t>
        </w:r>
      </w:hyperlink>
      <w:r>
        <w:t>.</w:t>
      </w:r>
    </w:p>
    <w:p w14:paraId="695FC2E9" w14:textId="41C98C63" w:rsidR="001718B0" w:rsidRDefault="001718B0" w:rsidP="001718B0">
      <w:pPr>
        <w:spacing w:line="240" w:lineRule="auto"/>
        <w:jc w:val="center"/>
      </w:pPr>
      <w:r>
        <w:rPr>
          <w:noProof/>
        </w:rPr>
        <w:lastRenderedPageBreak/>
        <w:drawing>
          <wp:inline distT="0" distB="0" distL="0" distR="0" wp14:anchorId="787D11A1" wp14:editId="20BE7AF3">
            <wp:extent cx="4486275" cy="3348421"/>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180" cy="3358799"/>
                    </a:xfrm>
                    <a:prstGeom prst="rect">
                      <a:avLst/>
                    </a:prstGeom>
                    <a:noFill/>
                    <a:ln>
                      <a:noFill/>
                    </a:ln>
                  </pic:spPr>
                </pic:pic>
              </a:graphicData>
            </a:graphic>
          </wp:inline>
        </w:drawing>
      </w:r>
      <w:r w:rsidRPr="001718B0">
        <w:t xml:space="preserve"> </w:t>
      </w:r>
    </w:p>
    <w:p w14:paraId="19C55138" w14:textId="77777777" w:rsidR="001718B0" w:rsidRDefault="001718B0" w:rsidP="001718B0">
      <w:pPr>
        <w:pStyle w:val="FigureCaption"/>
        <w:numPr>
          <w:ilvl w:val="0"/>
          <w:numId w:val="50"/>
        </w:numPr>
      </w:pPr>
      <w:r>
        <w:t xml:space="preserve">Make sure your flowcharts are more useful than this one. Source: </w:t>
      </w:r>
      <w:hyperlink r:id="rId17" w:history="1">
        <w:r w:rsidRPr="001718B0">
          <w:rPr>
            <w:rStyle w:val="Hyperlink"/>
            <w:spacing w:val="11"/>
            <w14:numForm w14:val="lining"/>
          </w:rPr>
          <w:t>XKCD</w:t>
        </w:r>
      </w:hyperlink>
      <w:r>
        <w:t>.</w:t>
      </w:r>
    </w:p>
    <w:p w14:paraId="1A3F95D4" w14:textId="0730775C" w:rsidR="001718B0" w:rsidRDefault="001718B0" w:rsidP="001718B0">
      <w:pPr>
        <w:spacing w:line="240" w:lineRule="auto"/>
        <w:jc w:val="center"/>
      </w:pPr>
      <w:r>
        <w:rPr>
          <w:noProof/>
        </w:rPr>
        <w:drawing>
          <wp:inline distT="0" distB="0" distL="0" distR="0" wp14:anchorId="7776418E" wp14:editId="588B7FDC">
            <wp:extent cx="4400550" cy="3303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3687" cy="3313608"/>
                    </a:xfrm>
                    <a:prstGeom prst="rect">
                      <a:avLst/>
                    </a:prstGeom>
                    <a:noFill/>
                    <a:ln>
                      <a:noFill/>
                    </a:ln>
                  </pic:spPr>
                </pic:pic>
              </a:graphicData>
            </a:graphic>
          </wp:inline>
        </w:drawing>
      </w:r>
      <w:r w:rsidRPr="001718B0">
        <w:t xml:space="preserve"> </w:t>
      </w:r>
    </w:p>
    <w:p w14:paraId="146397EC" w14:textId="77777777" w:rsidR="001718B0" w:rsidRDefault="001718B0" w:rsidP="001718B0">
      <w:pPr>
        <w:pStyle w:val="FigureCaption"/>
        <w:numPr>
          <w:ilvl w:val="0"/>
          <w:numId w:val="50"/>
        </w:numPr>
      </w:pPr>
      <w:r>
        <w:t xml:space="preserve">Make sure your flowcharts are more useful than this one. Source: </w:t>
      </w:r>
      <w:hyperlink r:id="rId19" w:history="1">
        <w:r w:rsidRPr="001718B0">
          <w:rPr>
            <w:rStyle w:val="Hyperlink"/>
            <w:spacing w:val="11"/>
            <w14:numForm w14:val="lining"/>
          </w:rPr>
          <w:t>XKCD</w:t>
        </w:r>
      </w:hyperlink>
      <w:r>
        <w:t>.</w:t>
      </w:r>
    </w:p>
    <w:p w14:paraId="1103FE1A" w14:textId="0ABD4653" w:rsidR="001718B0" w:rsidRDefault="001718B0" w:rsidP="001718B0">
      <w:pPr>
        <w:spacing w:line="240" w:lineRule="auto"/>
        <w:jc w:val="center"/>
      </w:pPr>
      <w:r>
        <w:rPr>
          <w:noProof/>
        </w:rPr>
        <w:lastRenderedPageBreak/>
        <w:drawing>
          <wp:inline distT="0" distB="0" distL="0" distR="0" wp14:anchorId="2D2F9C37" wp14:editId="61BB415E">
            <wp:extent cx="5029200" cy="37757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775710"/>
                    </a:xfrm>
                    <a:prstGeom prst="rect">
                      <a:avLst/>
                    </a:prstGeom>
                    <a:noFill/>
                    <a:ln>
                      <a:noFill/>
                    </a:ln>
                  </pic:spPr>
                </pic:pic>
              </a:graphicData>
            </a:graphic>
          </wp:inline>
        </w:drawing>
      </w:r>
    </w:p>
    <w:p w14:paraId="6137F46C" w14:textId="77777777" w:rsidR="001718B0" w:rsidRDefault="001718B0" w:rsidP="001718B0">
      <w:pPr>
        <w:pStyle w:val="FigureCaption"/>
        <w:numPr>
          <w:ilvl w:val="0"/>
          <w:numId w:val="50"/>
        </w:numPr>
      </w:pPr>
      <w:r>
        <w:t xml:space="preserve">Make sure your flowcharts are more useful than this one. Source: </w:t>
      </w:r>
      <w:hyperlink r:id="rId21" w:history="1">
        <w:r w:rsidRPr="001718B0">
          <w:rPr>
            <w:rStyle w:val="Hyperlink"/>
            <w:spacing w:val="11"/>
            <w14:numForm w14:val="lining"/>
          </w:rPr>
          <w:t>XKCD</w:t>
        </w:r>
      </w:hyperlink>
      <w:r>
        <w:t>.</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lastRenderedPageBreak/>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16BBB4BE" w:rsidR="00417F0E" w:rsidRDefault="00043DFA" w:rsidP="00417F0E">
      <w:pPr>
        <w:pStyle w:val="Heading1"/>
      </w:pPr>
      <w:r>
        <w:t>Strategy Learner</w:t>
      </w:r>
    </w:p>
    <w:p w14:paraId="15050DA4" w14:textId="35885A01" w:rsidR="00417F0E" w:rsidRPr="00F70249" w:rsidRDefault="00554A3A" w:rsidP="00417F0E">
      <w:pPr>
        <w:pStyle w:val="Heading2"/>
      </w:pPr>
      <w:r>
        <w:t>Framing the Problem</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2"/>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7E6EDFC0" w14:textId="77777777" w:rsidR="00554A3A"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w:t>
      </w:r>
    </w:p>
    <w:p w14:paraId="7E8ABBD6" w14:textId="3F564C08" w:rsidR="00554A3A" w:rsidRDefault="00554A3A" w:rsidP="00554A3A">
      <w:pPr>
        <w:pStyle w:val="Heading1"/>
      </w:pPr>
      <w:r>
        <w:lastRenderedPageBreak/>
        <w:t>Experiment 1</w:t>
      </w:r>
    </w:p>
    <w:p w14:paraId="2B5500F2" w14:textId="1AD3EB8C" w:rsidR="00554A3A" w:rsidRPr="00F70249" w:rsidRDefault="00554A3A" w:rsidP="00554A3A">
      <w:pPr>
        <w:pStyle w:val="Heading2"/>
      </w:pPr>
      <w:r>
        <w:t>Summary of Experiment</w:t>
      </w:r>
    </w:p>
    <w:p w14:paraId="771215A8" w14:textId="0932A22D" w:rsidR="00554A3A" w:rsidRDefault="00554A3A" w:rsidP="00554A3A">
      <w:r>
        <w:t>A</w:t>
      </w:r>
      <w:r w:rsidRPr="00F70249">
        <w:t>rticles or sources to which you refer should be cited in-line with the authors’ names and the year of publication</w:t>
      </w:r>
      <w:r>
        <w:t>.</w:t>
      </w:r>
      <w:r>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43CE2923" w14:textId="6656A2C8" w:rsidR="009D4E06" w:rsidRPr="00F70249" w:rsidRDefault="009D4E06" w:rsidP="009D4E06">
      <w:pPr>
        <w:pStyle w:val="Heading2"/>
      </w:pPr>
      <w:r>
        <w:t>Hypothesis</w:t>
      </w:r>
    </w:p>
    <w:p w14:paraId="76843D22" w14:textId="06FCE1D3" w:rsidR="009D4E06" w:rsidRPr="00F70249" w:rsidRDefault="009D4E06" w:rsidP="00554A3A">
      <w:r>
        <w:t>A</w:t>
      </w:r>
      <w:r w:rsidRPr="00F70249">
        <w:t>rticles or sources to which you refer should be cited in-line with the authors’ names and the year of publication</w:t>
      </w:r>
      <w:r>
        <w:t>.</w:t>
      </w:r>
      <w:r>
        <w:rPr>
          <w:rStyle w:val="FootnoteReference"/>
        </w:rPr>
        <w:footnoteReference w:id="4"/>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w:t>
      </w:r>
      <w:r w:rsidRPr="00F70249">
        <w:lastRenderedPageBreak/>
        <w:t xml:space="preserve">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0BD5D4C1" w14:textId="5109A2C7" w:rsidR="00554A3A" w:rsidRPr="00F70249" w:rsidRDefault="00554A3A" w:rsidP="00554A3A">
      <w:pPr>
        <w:pStyle w:val="Heading2"/>
      </w:pPr>
      <w:r>
        <w:t>Results</w:t>
      </w:r>
    </w:p>
    <w:p w14:paraId="5D1EE529" w14:textId="61693831" w:rsidR="000115A8" w:rsidRDefault="00554A3A" w:rsidP="00554A3A">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w:t>
      </w:r>
      <w:proofErr w:type="gramStart"/>
      <w:r w:rsidRPr="00F70249">
        <w:t>e.g.</w:t>
      </w:r>
      <w:proofErr w:type="gramEnd"/>
      <w:r w:rsidRPr="00F70249">
        <w:t xml:space="preserve"> Joyner</w:t>
      </w:r>
      <w:r>
        <w:t>,</w:t>
      </w:r>
      <w:r w:rsidRPr="00F70249">
        <w:t xml:space="preserve"> 2018a and Joyner</w:t>
      </w:r>
      <w:r>
        <w:t>,</w:t>
      </w:r>
      <w:r w:rsidRPr="00F70249">
        <w:t xml:space="preserve"> 2018b in the section above). If multiple papers have the same </w:t>
      </w:r>
      <w:r w:rsidR="00417F0E" w:rsidRPr="00F70249">
        <w:t xml:space="preserve">author(s), list them in chronological order starting with the older paper. Only works that are cited in-line should be included in the reference </w:t>
      </w:r>
      <w:r w:rsidR="00417F0E">
        <w:t>list</w:t>
      </w:r>
      <w:r w:rsidR="00417F0E" w:rsidRPr="00F70249">
        <w:t>.</w:t>
      </w:r>
      <w:r w:rsidR="00E344D8">
        <w:t xml:space="preserve"> The reference list does not count against the length requirements.</w:t>
      </w:r>
      <w:r w:rsidR="00314FD6">
        <w:t xml:space="preserve"> </w:t>
      </w:r>
    </w:p>
    <w:p w14:paraId="668D3E05" w14:textId="756E9F5C" w:rsidR="00554A3A" w:rsidRDefault="00554A3A" w:rsidP="00554A3A">
      <w:pPr>
        <w:pStyle w:val="Heading1"/>
      </w:pPr>
      <w:r>
        <w:t>Experiment 2</w:t>
      </w:r>
    </w:p>
    <w:p w14:paraId="4411C888" w14:textId="77777777" w:rsidR="009D4E06" w:rsidRPr="00F70249" w:rsidRDefault="009D4E06" w:rsidP="009D4E06">
      <w:pPr>
        <w:pStyle w:val="Heading2"/>
      </w:pPr>
      <w:r>
        <w:t>Summary of Experiment</w:t>
      </w:r>
    </w:p>
    <w:p w14:paraId="02E83127" w14:textId="448CFEDF" w:rsidR="00554A3A" w:rsidRDefault="00554A3A" w:rsidP="00554A3A">
      <w:r>
        <w:t>A</w:t>
      </w:r>
      <w:r w:rsidRPr="00F70249">
        <w:t>rticles or sources to which you refer should be cited in-line with the authors’ names and the year of publication</w:t>
      </w:r>
      <w:r>
        <w:t>.</w:t>
      </w:r>
      <w:r>
        <w:rPr>
          <w:rStyle w:val="FootnoteReference"/>
        </w:rPr>
        <w:footnoteReference w:id="5"/>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476726AF" w14:textId="77777777" w:rsidR="009D4E06" w:rsidRPr="00F70249" w:rsidRDefault="009D4E06" w:rsidP="009D4E06">
      <w:pPr>
        <w:pStyle w:val="Heading2"/>
      </w:pPr>
      <w:r>
        <w:lastRenderedPageBreak/>
        <w:t>Hypothesis</w:t>
      </w:r>
    </w:p>
    <w:p w14:paraId="5B43DDAA" w14:textId="77777777" w:rsidR="009D4E06" w:rsidRPr="00F70249" w:rsidRDefault="009D4E06" w:rsidP="009D4E06">
      <w:r>
        <w:t>A</w:t>
      </w:r>
      <w:r w:rsidRPr="00F70249">
        <w:t>rticles or sources to which you refer should be cited in-line with the authors’ names and the year of publication</w:t>
      </w:r>
      <w:r>
        <w:t>.</w:t>
      </w:r>
      <w:r>
        <w:rPr>
          <w:rStyle w:val="FootnoteReference"/>
        </w:rPr>
        <w:footnoteReference w:id="6"/>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01A98DC" w14:textId="77777777" w:rsidR="009D4E06" w:rsidRPr="00F70249" w:rsidRDefault="009D4E06" w:rsidP="00554A3A"/>
    <w:p w14:paraId="20B261CA" w14:textId="77777777" w:rsidR="00554A3A" w:rsidRPr="00F70249" w:rsidRDefault="00554A3A" w:rsidP="00554A3A">
      <w:pPr>
        <w:pStyle w:val="Heading2"/>
      </w:pPr>
      <w:r w:rsidRPr="00F70249">
        <w:t xml:space="preserve">Reference </w:t>
      </w:r>
      <w:r>
        <w:t>l</w:t>
      </w:r>
      <w:r w:rsidRPr="00F70249">
        <w:t>ist</w:t>
      </w:r>
      <w:r>
        <w:t>s</w:t>
      </w:r>
    </w:p>
    <w:p w14:paraId="1C9DA345" w14:textId="20599340" w:rsidR="00554A3A" w:rsidRDefault="00554A3A" w:rsidP="00554A3A">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w:t>
      </w:r>
      <w:proofErr w:type="gramStart"/>
      <w:r w:rsidRPr="00F70249">
        <w:t>e.g.</w:t>
      </w:r>
      <w:proofErr w:type="gramEnd"/>
      <w:r w:rsidRPr="00F70249">
        <w:t xml:space="preserve"> Joyner</w:t>
      </w:r>
      <w:r>
        <w:t>,</w:t>
      </w:r>
      <w:r w:rsidRPr="00F70249">
        <w:t xml:space="preserve"> 2018a and Joyner</w:t>
      </w:r>
      <w:r>
        <w:t>,</w:t>
      </w:r>
      <w:r w:rsidRPr="00F70249">
        <w:t xml:space="preserve"> 2018b in the section above). If multiple papers have the same</w:t>
      </w:r>
    </w:p>
    <w:sectPr w:rsidR="00554A3A" w:rsidSect="00641ADD">
      <w:headerReference w:type="even" r:id="rId22"/>
      <w:headerReference w:type="default" r:id="rId23"/>
      <w:footerReference w:type="even" r:id="rId24"/>
      <w:footerReference w:type="default" r:id="rId25"/>
      <w:headerReference w:type="first" r:id="rId26"/>
      <w:footerReference w:type="first" r:id="rId2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97AA2" w14:textId="77777777" w:rsidR="003B7983" w:rsidRDefault="003B7983" w:rsidP="00126D77">
      <w:r>
        <w:separator/>
      </w:r>
    </w:p>
  </w:endnote>
  <w:endnote w:type="continuationSeparator" w:id="0">
    <w:p w14:paraId="7B505430" w14:textId="77777777" w:rsidR="003B7983" w:rsidRDefault="003B7983"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4DF5" w14:textId="77777777" w:rsidR="003B7983" w:rsidRDefault="003B7983" w:rsidP="0060186D">
      <w:pPr>
        <w:spacing w:after="0" w:line="110" w:lineRule="exact"/>
      </w:pPr>
    </w:p>
  </w:footnote>
  <w:footnote w:type="continuationSeparator" w:id="0">
    <w:p w14:paraId="1B1AEACC" w14:textId="77777777" w:rsidR="003B7983" w:rsidRPr="00BB7AEF" w:rsidRDefault="003B7983" w:rsidP="00BB7AEF">
      <w:pPr>
        <w:spacing w:after="0" w:line="20" w:lineRule="exact"/>
        <w:rPr>
          <w:sz w:val="2"/>
        </w:rPr>
      </w:pPr>
    </w:p>
  </w:footnote>
  <w:footnote w:type="continuationNotice" w:id="1">
    <w:p w14:paraId="25477CC9" w14:textId="77777777" w:rsidR="003B7983" w:rsidRPr="00AE67B5" w:rsidRDefault="003B7983" w:rsidP="00AE67B5">
      <w:pPr>
        <w:spacing w:after="0" w:line="20" w:lineRule="exact"/>
        <w:rPr>
          <w:sz w:val="2"/>
        </w:rPr>
      </w:pPr>
    </w:p>
  </w:footnote>
  <w:footnote w:id="2">
    <w:p w14:paraId="21106F1A" w14:textId="4AF1A577" w:rsidR="00E344D8" w:rsidRPr="00FA5220" w:rsidRDefault="00E344D8" w:rsidP="00450874">
      <w:pPr>
        <w:pStyle w:val="Footnote"/>
      </w:pPr>
    </w:p>
  </w:footnote>
  <w:footnote w:id="3">
    <w:p w14:paraId="7EAD8235" w14:textId="77777777" w:rsidR="00554A3A" w:rsidRPr="00FA5220" w:rsidRDefault="00554A3A" w:rsidP="00554A3A">
      <w:pPr>
        <w:pStyle w:val="Footnote"/>
      </w:pPr>
    </w:p>
  </w:footnote>
  <w:footnote w:id="4">
    <w:p w14:paraId="2645DAD5" w14:textId="77777777" w:rsidR="009D4E06" w:rsidRPr="00FA5220" w:rsidRDefault="009D4E06" w:rsidP="009D4E06">
      <w:pPr>
        <w:pStyle w:val="Footnote"/>
      </w:pPr>
    </w:p>
  </w:footnote>
  <w:footnote w:id="5">
    <w:p w14:paraId="16F78517" w14:textId="77777777" w:rsidR="00554A3A" w:rsidRPr="00FA5220" w:rsidRDefault="00554A3A" w:rsidP="00554A3A">
      <w:pPr>
        <w:pStyle w:val="Footnote"/>
      </w:pPr>
    </w:p>
  </w:footnote>
  <w:footnote w:id="6">
    <w:p w14:paraId="559BB7A5" w14:textId="77777777" w:rsidR="009D4E06" w:rsidRPr="00FA5220" w:rsidRDefault="009D4E06" w:rsidP="009D4E06">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 w:numId="49">
    <w:abstractNumId w:val="21"/>
    <w:lvlOverride w:ilvl="0">
      <w:startOverride w:val="1"/>
    </w:lvlOverride>
  </w:num>
  <w:num w:numId="5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5914"/>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3DFA"/>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5FBE"/>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2A82"/>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8B0"/>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00B1"/>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02B4"/>
    <w:rsid w:val="0024142B"/>
    <w:rsid w:val="002418FE"/>
    <w:rsid w:val="00244C89"/>
    <w:rsid w:val="00244DA3"/>
    <w:rsid w:val="00251DA6"/>
    <w:rsid w:val="002540F0"/>
    <w:rsid w:val="00257A73"/>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317D"/>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3E11"/>
    <w:rsid w:val="00340B08"/>
    <w:rsid w:val="00346EC8"/>
    <w:rsid w:val="00351C5A"/>
    <w:rsid w:val="00353B50"/>
    <w:rsid w:val="00356F39"/>
    <w:rsid w:val="00360939"/>
    <w:rsid w:val="00361865"/>
    <w:rsid w:val="00361A3E"/>
    <w:rsid w:val="00366883"/>
    <w:rsid w:val="00366B2D"/>
    <w:rsid w:val="00370DCB"/>
    <w:rsid w:val="00370F79"/>
    <w:rsid w:val="00373528"/>
    <w:rsid w:val="00373663"/>
    <w:rsid w:val="0037386C"/>
    <w:rsid w:val="0037558A"/>
    <w:rsid w:val="00375FF8"/>
    <w:rsid w:val="003825F5"/>
    <w:rsid w:val="00383338"/>
    <w:rsid w:val="00385D86"/>
    <w:rsid w:val="003877F2"/>
    <w:rsid w:val="00390FA2"/>
    <w:rsid w:val="00394516"/>
    <w:rsid w:val="00394E3E"/>
    <w:rsid w:val="003961A6"/>
    <w:rsid w:val="003A46EA"/>
    <w:rsid w:val="003A4970"/>
    <w:rsid w:val="003A62EB"/>
    <w:rsid w:val="003A7D06"/>
    <w:rsid w:val="003B0B8B"/>
    <w:rsid w:val="003B195A"/>
    <w:rsid w:val="003B4A52"/>
    <w:rsid w:val="003B5280"/>
    <w:rsid w:val="003B7983"/>
    <w:rsid w:val="003B7F2C"/>
    <w:rsid w:val="003C2E77"/>
    <w:rsid w:val="003C3139"/>
    <w:rsid w:val="003C529A"/>
    <w:rsid w:val="003D0ED4"/>
    <w:rsid w:val="003D6955"/>
    <w:rsid w:val="003E098F"/>
    <w:rsid w:val="003E21C6"/>
    <w:rsid w:val="003E687F"/>
    <w:rsid w:val="003E7050"/>
    <w:rsid w:val="003F106D"/>
    <w:rsid w:val="003F7B8C"/>
    <w:rsid w:val="004027C6"/>
    <w:rsid w:val="00403C55"/>
    <w:rsid w:val="00407341"/>
    <w:rsid w:val="004075D5"/>
    <w:rsid w:val="004078D4"/>
    <w:rsid w:val="004132B8"/>
    <w:rsid w:val="0041391B"/>
    <w:rsid w:val="004156C8"/>
    <w:rsid w:val="00417F0E"/>
    <w:rsid w:val="00422A19"/>
    <w:rsid w:val="00422BCE"/>
    <w:rsid w:val="0042394A"/>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4A3A"/>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7D89"/>
    <w:rsid w:val="00681264"/>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C3C"/>
    <w:rsid w:val="006F6F00"/>
    <w:rsid w:val="007008BF"/>
    <w:rsid w:val="00703884"/>
    <w:rsid w:val="0070506F"/>
    <w:rsid w:val="0070617C"/>
    <w:rsid w:val="007070F0"/>
    <w:rsid w:val="007154B3"/>
    <w:rsid w:val="00716A64"/>
    <w:rsid w:val="0071719B"/>
    <w:rsid w:val="007173A1"/>
    <w:rsid w:val="007211C2"/>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A0D"/>
    <w:rsid w:val="00762B76"/>
    <w:rsid w:val="00763478"/>
    <w:rsid w:val="007640DD"/>
    <w:rsid w:val="00764914"/>
    <w:rsid w:val="00764E0F"/>
    <w:rsid w:val="00766C59"/>
    <w:rsid w:val="007672CC"/>
    <w:rsid w:val="0077229B"/>
    <w:rsid w:val="00772CB2"/>
    <w:rsid w:val="00773A55"/>
    <w:rsid w:val="0077769A"/>
    <w:rsid w:val="007776CD"/>
    <w:rsid w:val="00777D5A"/>
    <w:rsid w:val="0078111A"/>
    <w:rsid w:val="00783A6E"/>
    <w:rsid w:val="00784B78"/>
    <w:rsid w:val="00786AA8"/>
    <w:rsid w:val="007878D4"/>
    <w:rsid w:val="007A078D"/>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4246"/>
    <w:rsid w:val="007C5EC0"/>
    <w:rsid w:val="007C7506"/>
    <w:rsid w:val="007D1EA5"/>
    <w:rsid w:val="007D5DB3"/>
    <w:rsid w:val="007D6D53"/>
    <w:rsid w:val="007F4A49"/>
    <w:rsid w:val="007F6D17"/>
    <w:rsid w:val="007F6F9E"/>
    <w:rsid w:val="0080224F"/>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16F9"/>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2FCB"/>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06"/>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2FFC"/>
    <w:rsid w:val="00B53F17"/>
    <w:rsid w:val="00B61EB0"/>
    <w:rsid w:val="00B651F2"/>
    <w:rsid w:val="00B65552"/>
    <w:rsid w:val="00B67D2F"/>
    <w:rsid w:val="00B71022"/>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4952"/>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2BA"/>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10E"/>
    <w:rsid w:val="00CF1360"/>
    <w:rsid w:val="00CF166B"/>
    <w:rsid w:val="00CF3A89"/>
    <w:rsid w:val="00CF3D13"/>
    <w:rsid w:val="00CF4FF0"/>
    <w:rsid w:val="00D029E0"/>
    <w:rsid w:val="00D03064"/>
    <w:rsid w:val="00D05454"/>
    <w:rsid w:val="00D074AB"/>
    <w:rsid w:val="00D112AC"/>
    <w:rsid w:val="00D144BF"/>
    <w:rsid w:val="00D17872"/>
    <w:rsid w:val="00D21B21"/>
    <w:rsid w:val="00D21F21"/>
    <w:rsid w:val="00D2472D"/>
    <w:rsid w:val="00D25776"/>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3293"/>
    <w:rsid w:val="00E07F1C"/>
    <w:rsid w:val="00E15396"/>
    <w:rsid w:val="00E23667"/>
    <w:rsid w:val="00E23FB0"/>
    <w:rsid w:val="00E24AA8"/>
    <w:rsid w:val="00E2792A"/>
    <w:rsid w:val="00E3072E"/>
    <w:rsid w:val="00E30E86"/>
    <w:rsid w:val="00E327B3"/>
    <w:rsid w:val="00E330F2"/>
    <w:rsid w:val="00E33471"/>
    <w:rsid w:val="00E344D8"/>
    <w:rsid w:val="00E34E64"/>
    <w:rsid w:val="00E36F1F"/>
    <w:rsid w:val="00E3724F"/>
    <w:rsid w:val="00E4177B"/>
    <w:rsid w:val="00E42250"/>
    <w:rsid w:val="00E43B29"/>
    <w:rsid w:val="00E44FB3"/>
    <w:rsid w:val="00E45601"/>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5DF9"/>
    <w:rsid w:val="00E96C48"/>
    <w:rsid w:val="00E972F7"/>
    <w:rsid w:val="00EA7B3D"/>
    <w:rsid w:val="00EB5073"/>
    <w:rsid w:val="00EB781B"/>
    <w:rsid w:val="00EC2A34"/>
    <w:rsid w:val="00EC4403"/>
    <w:rsid w:val="00EC7657"/>
    <w:rsid w:val="00ED0EBC"/>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03DE"/>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kcd.com/1195/" TargetMode="External"/><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xkcd.com/119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xkcd.com/119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kcd.com/119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xkcd.com/1195/"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xkcd.com/1195/"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11</TotalTime>
  <Pages>12</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Nathan Riojas</cp:lastModifiedBy>
  <cp:revision>7</cp:revision>
  <cp:lastPrinted>2019-05-10T20:56:00Z</cp:lastPrinted>
  <dcterms:created xsi:type="dcterms:W3CDTF">2021-04-18T09:36:00Z</dcterms:created>
  <dcterms:modified xsi:type="dcterms:W3CDTF">2021-04-18T09:47:00Z</dcterms:modified>
</cp:coreProperties>
</file>