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Datasets and Models for</w:t>
      </w:r>
      <w:r w:rsidDel="00000000" w:rsidR="00000000" w:rsidRPr="00000000">
        <w:rPr>
          <w:rFonts w:ascii="Calibri" w:cs="Calibri" w:eastAsia="Calibri" w:hAnsi="Calibri"/>
          <w:color w:val="2f5496"/>
          <w:sz w:val="36"/>
          <w:szCs w:val="36"/>
          <w:rtl w:val="0"/>
        </w:rPr>
        <w:t xml:space="preserve"> applying ML to networking/security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Datasets: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color w:val="ff0000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ff0000"/>
            <w:sz w:val="28"/>
            <w:szCs w:val="28"/>
            <w:u w:val="single"/>
            <w:rtl w:val="0"/>
          </w:rPr>
          <w:t xml:space="preserve">Google Cluster Usage traces (GCUT)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color w:val="ff0000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ff0000"/>
            <w:sz w:val="28"/>
            <w:szCs w:val="28"/>
            <w:u w:val="single"/>
            <w:rtl w:val="0"/>
          </w:rPr>
          <w:t xml:space="preserve">Wikipedia Web Traffic (WWT)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color w:val="ff0000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color w:val="ff0000"/>
            <w:sz w:val="28"/>
            <w:szCs w:val="28"/>
            <w:u w:val="single"/>
            <w:rtl w:val="0"/>
          </w:rPr>
          <w:t xml:space="preserve">Measuring Broadband America (MBA)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GWA-T-12 Bitbrains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(Trace Data)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The dataset contains the performance metrics of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24"/>
          <w:szCs w:val="24"/>
          <w:highlight w:val="white"/>
          <w:rtl w:val="0"/>
        </w:rPr>
        <w:t xml:space="preserve">1,750 VMs</w:t>
      </w:r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 from a distributed datacenter from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24"/>
          <w:szCs w:val="24"/>
          <w:highlight w:val="white"/>
          <w:rtl w:val="0"/>
        </w:rPr>
        <w:t xml:space="preserve">Bitbrains.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76" w:lineRule="auto"/>
        <w:ind w:left="1440" w:hanging="360"/>
        <w:rPr>
          <w:rFonts w:ascii="Verdana" w:cs="Verdana" w:eastAsia="Verdana" w:hAnsi="Verdana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request crediting them when publishing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383838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WILDS.STANFORD.EDU</w:t>
        </w:r>
      </w:hyperlink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76" w:lineRule="auto"/>
        <w:ind w:left="1440" w:hanging="360"/>
        <w:rPr>
          <w:rFonts w:ascii="Verdana" w:cs="Verdana" w:eastAsia="Verdana" w:hAnsi="Verdana"/>
          <w:color w:val="383838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7 Datasets</w:t>
        </w:r>
      </w:hyperlink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  <w:rPr>
          <w:rFonts w:ascii="Verdana" w:cs="Verdana" w:eastAsia="Verdana" w:hAnsi="Verdana"/>
          <w:color w:val="38383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83838"/>
          <w:sz w:val="24"/>
          <w:szCs w:val="24"/>
          <w:highlight w:val="white"/>
          <w:rtl w:val="0"/>
        </w:rPr>
        <w:t xml:space="preserve">Paper: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Wilds: A Benchmark of in-the-Wild Distribution Shifts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383838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Parallel Workload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Network Downstream Tasks:</w:t>
      </w:r>
    </w:p>
    <w:tbl>
      <w:tblPr>
        <w:tblStyle w:val="Table1"/>
        <w:tblW w:w="15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90"/>
        <w:gridCol w:w="2805"/>
        <w:gridCol w:w="5565"/>
        <w:tblGridChange w:id="0">
          <w:tblGrid>
            <w:gridCol w:w="7290"/>
            <w:gridCol w:w="2805"/>
            <w:gridCol w:w="5565"/>
          </w:tblGrid>
        </w:tblGridChange>
      </w:tblGrid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Style w:val="Heading2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Style w:val="Heading2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</w:p>
        </w:tc>
      </w:tr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spacing w:line="276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Internet Traffic Classification Demystified: Myths, Caveats, and the Best Practices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Style w:val="Heading2"/>
              <w:spacing w:line="276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CoNEXT 2008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2"/>
              <w:spacing w:line="276" w:lineRule="auto"/>
              <w:rPr>
                <w:b w:val="1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b w:val="1"/>
                  <w:color w:val="0563c1"/>
                  <w:sz w:val="22"/>
                  <w:szCs w:val="22"/>
                  <w:u w:val="single"/>
                  <w:rtl w:val="0"/>
                </w:rPr>
                <w:t xml:space="preserve">http://alumni.cs.ucr.edu/~dhiman/papers/conext_08.pdf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Multi-classification approaches for classifying mobile app traffic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J. Netw. Comput. Appl.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2"/>
              <w:spacing w:line="276" w:lineRule="auto"/>
              <w:rPr>
                <w:color w:val="000000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https://dl.acm.org/doi/10.1016/j.jnca.2017.11.007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 survey of methods for encrypted traffic classification and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Int. J. Netw. Manag. 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https://dl.acm.org/doi/10.5555/2885221.2885227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 Deep Learning Approach for IP Hijack Detection Based on ASN Embedding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NetAI 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Style w:val="Heading2"/>
              <w:spacing w:line="276" w:lineRule="auto"/>
              <w:rPr/>
            </w:pP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https://dl.acm.org/doi/10.1145/3405671.3405814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BGP hijacking classification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Style w:val="Heading2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IEEE 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spacing w:line="276" w:lineRule="auto"/>
              <w:rPr/>
            </w:pP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https://ieeexplore.ieee.org/abstract/document/8784511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1906" w:w="16838" w:orient="landscape"/>
      <w:pgMar w:bottom="547.2" w:top="446.4" w:left="633.6" w:right="54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lds.stanford.edu/datasets/" TargetMode="External"/><Relationship Id="rId10" Type="http://schemas.openxmlformats.org/officeDocument/2006/relationships/hyperlink" Target="http://wilds.stanford.edu" TargetMode="External"/><Relationship Id="rId13" Type="http://schemas.openxmlformats.org/officeDocument/2006/relationships/hyperlink" Target="https://www.cs.huji.ac.il/labs/parallel/workload/" TargetMode="External"/><Relationship Id="rId12" Type="http://schemas.openxmlformats.org/officeDocument/2006/relationships/hyperlink" Target="https://arxiv.org/pdf/2012.0742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wa.ewi.tudelft.nl/datasets/gwa-t-12-bitbrains" TargetMode="External"/><Relationship Id="rId15" Type="http://schemas.openxmlformats.org/officeDocument/2006/relationships/hyperlink" Target="https://dl.acm.org/doi/10.1016/j.jnca.2017.11.007" TargetMode="External"/><Relationship Id="rId14" Type="http://schemas.openxmlformats.org/officeDocument/2006/relationships/hyperlink" Target="http://alumni.cs.ucr.edu/~dhiman/papers/conext_08.pdf" TargetMode="External"/><Relationship Id="rId17" Type="http://schemas.openxmlformats.org/officeDocument/2006/relationships/hyperlink" Target="https://dl.acm.org/doi/10.1145/3405671.3405814" TargetMode="External"/><Relationship Id="rId16" Type="http://schemas.openxmlformats.org/officeDocument/2006/relationships/hyperlink" Target="https://dl.acm.org/doi/10.5555/2885221.2885227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rive.google.com/drive/folders/1rP7LPx8vhdp5cMI3ndDpAUaILlyb2vI_?usp=sharing" TargetMode="External"/><Relationship Id="rId18" Type="http://schemas.openxmlformats.org/officeDocument/2006/relationships/hyperlink" Target="https://ieeexplore.ieee.org/abstract/document/8784511" TargetMode="External"/><Relationship Id="rId7" Type="http://schemas.openxmlformats.org/officeDocument/2006/relationships/hyperlink" Target="https://docs.google.com/document/d/1L0VURpZMlMmoBwQwcfudPdHuMSAdECdMdY4f5HvZhQ8/edit?usp=sharing" TargetMode="External"/><Relationship Id="rId8" Type="http://schemas.openxmlformats.org/officeDocument/2006/relationships/hyperlink" Target="https://www.fcc.gov/reports-research/reports/measuring-broadband-america/raw-data-measuring-broadband-america-seve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