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tbl>
      <w:tblPr>
        <w:tblW w:type="pct" w:w="100%"/>
        <w:tblBorders>
          <w:top w:val="none"/>
          <w:left w:val="none"/>
          <w:bottom w:val="none"/>
          <w:right w:val="none"/>
          <w:insideH w:val="single" w:color="auto" w:sz="4"/>
          <w:insideV w:val="single" w:color="auto" w:sz="4"/>
        </w:tblBorders>
      </w:tblPr>
      <w:tblGrid>
        <w:gridCol w:w="9500"/>
      </w:tblGrid>
      <w:tr>
        <w:tc>
          <w:tcPr>
            <w:tcW w:type="dxa" w:w="9500"/>
            <w:shd w:fill="0D2B5C" w:val="clear"/>
            <w:tcMar>
              <w:top w:type="dxa" w:w="400"/>
              <w:left w:type="dxa" w:w="400"/>
              <w:bottom w:type="dxa" w:w="400"/>
              <w:right w:type="dxa" w:w="400"/>
            </w:tcMar>
          </w:tcPr>
          <w:p>
            <w:pPr>
              <w:spacing w:after="120" w:before="0"/>
              <w:jc w:val="center"/>
            </w:pPr>
            <w:r>
              <w:rPr>
                <w:rFonts w:ascii="Calibri" w:cs="Calibri" w:eastAsia="Calibri" w:hAnsi="Calibri"/>
                <w:b/>
                <w:bCs/>
                <w:color w:val="FFFFFF"/>
                <w:sz w:val="36"/>
                <w:szCs w:val="36"/>
              </w:rPr>
              <w:t xml:space="preserve">SOFTWARE ARCHITECTURE DOCUMENT</w:t>
            </w:r>
          </w:p>
          <w:p>
            <w:pPr>
              <w:spacing w:after="60" w:before="0"/>
              <w:jc w:val="center"/>
            </w:pPr>
            <w:r>
              <w:rPr>
                <w:rFonts w:ascii="Calibri" w:cs="Calibri" w:eastAsia="Calibri" w:hAnsi="Calibri"/>
                <w:color w:val="AAD4F5"/>
                <w:sz w:val="22"/>
                <w:szCs w:val="22"/>
              </w:rPr>
              <w:t xml:space="preserve">SAD — Version 2.1.0</w:t>
            </w:r>
          </w:p>
          <w:p>
            <w:pPr>
              <w:spacing w:after="60" w:before="80"/>
              <w:jc w:val="center"/>
            </w:pPr>
            <w:r>
              <w:rPr>
                <w:rFonts w:ascii="Calibri" w:cs="Calibri" w:eastAsia="Calibri" w:hAnsi="Calibri"/>
                <w:b/>
                <w:bCs/>
                <w:color w:val="FFFFFF"/>
                <w:sz w:val="26"/>
                <w:szCs w:val="26"/>
              </w:rPr>
              <w:t xml:space="preserve">Identity &amp; Access Management (IAM) Subsystem Integration</w:t>
            </w:r>
          </w:p>
          <w:p>
            <w:pPr>
              <w:spacing w:after="0" w:before="0"/>
              <w:jc w:val="center"/>
            </w:pPr>
            <w:r>
              <w:rPr>
                <w:rFonts w:ascii="Calibri" w:cs="Calibri" w:eastAsia="Calibri" w:hAnsi="Calibri"/>
                <w:i/>
                <w:iCs/>
                <w:color w:val="AAD4F5"/>
                <w:sz w:val="20"/>
                <w:szCs w:val="20"/>
              </w:rPr>
              <w:t xml:space="preserve">Enterprise SSO &amp; Self-Healing RBAC Architecture</w:t>
            </w:r>
          </w:p>
        </w:tc>
      </w:tr>
    </w:tbl>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7100"/>
      </w:tblGrid>
      <w:tr>
        <w:trPr>
          <w:tblHeader/>
        </w:trPr>
        <w:tc>
          <w:tcPr>
            <w:tcW w:type="dxa" w:w="2400"/>
            <w:shd w:fill="0D2B5C" w:val="clear"/>
            <w:tcMar>
              <w:top w:type="dxa" w:w="60"/>
              <w:left w:type="dxa" w:w="100"/>
              <w:bottom w:type="dxa" w:w="60"/>
              <w:right w:type="dxa" w:w="60"/>
            </w:tcMar>
          </w:tcPr>
          <w:p>
            <w:r>
              <w:rPr>
                <w:b/>
                <w:bCs/>
                <w:color w:val="FFFFFF"/>
                <w:sz w:val="18"/>
                <w:szCs w:val="18"/>
              </w:rPr>
              <w:t xml:space="preserve">Field</w:t>
            </w:r>
          </w:p>
        </w:tc>
        <w:tc>
          <w:tcPr>
            <w:tcW w:type="dxa" w:w="7100"/>
            <w:shd w:fill="0D2B5C" w:val="clear"/>
            <w:tcMar>
              <w:top w:type="dxa" w:w="60"/>
              <w:left w:type="dxa" w:w="100"/>
              <w:bottom w:type="dxa" w:w="60"/>
              <w:right w:type="dxa" w:w="60"/>
            </w:tcMar>
          </w:tcPr>
          <w:p>
            <w:r>
              <w:rPr>
                <w:b/>
                <w:bCs/>
                <w:color w:val="FFFFFF"/>
                <w:sz w:val="18"/>
                <w:szCs w:val="18"/>
              </w:rPr>
              <w:t xml:space="preserve">Value</w:t>
            </w:r>
          </w:p>
        </w:tc>
      </w:tr>
      <w:tr>
        <w:tc>
          <w:tcPr>
            <w:tcW w:type="dxa" w:w="2400"/>
            <w:shd w:fill="FFFFFF" w:val="clear"/>
            <w:tcMar>
              <w:top w:type="dxa" w:w="60"/>
              <w:left w:type="dxa" w:w="100"/>
              <w:bottom w:type="dxa" w:w="60"/>
              <w:right w:type="dxa" w:w="60"/>
            </w:tcMar>
          </w:tcPr>
          <w:p>
            <w:r>
              <w:rPr>
                <w:color w:val="000000"/>
                <w:sz w:val="18"/>
                <w:szCs w:val="18"/>
              </w:rPr>
              <w:t xml:space="preserve">Project</w:t>
            </w:r>
          </w:p>
        </w:tc>
        <w:tc>
          <w:tcPr>
            <w:tcW w:type="dxa" w:w="7100"/>
            <w:shd w:fill="FFFFFF" w:val="clear"/>
            <w:tcMar>
              <w:top w:type="dxa" w:w="60"/>
              <w:left w:type="dxa" w:w="100"/>
              <w:bottom w:type="dxa" w:w="60"/>
              <w:right w:type="dxa" w:w="60"/>
            </w:tcMar>
          </w:tcPr>
          <w:p>
            <w:r>
              <w:rPr>
                <w:color w:val="000000"/>
                <w:sz w:val="18"/>
                <w:szCs w:val="18"/>
              </w:rPr>
              <w:t xml:space="preserve">Intervention Management Platform (UK Water Sector)</w:t>
            </w:r>
          </w:p>
        </w:tc>
      </w:tr>
      <w:tr>
        <w:tc>
          <w:tcPr>
            <w:tcW w:type="dxa" w:w="2400"/>
            <w:shd w:fill="F5F5F5" w:val="clear"/>
            <w:tcMar>
              <w:top w:type="dxa" w:w="60"/>
              <w:left w:type="dxa" w:w="100"/>
              <w:bottom w:type="dxa" w:w="60"/>
              <w:right w:type="dxa" w:w="60"/>
            </w:tcMar>
          </w:tcPr>
          <w:p>
            <w:r>
              <w:rPr>
                <w:color w:val="000000"/>
                <w:sz w:val="18"/>
                <w:szCs w:val="18"/>
              </w:rPr>
              <w:t xml:space="preserve">System Framework</w:t>
            </w:r>
          </w:p>
        </w:tc>
        <w:tc>
          <w:tcPr>
            <w:tcW w:type="dxa" w:w="7100"/>
            <w:shd w:fill="F5F5F5" w:val="clear"/>
            <w:tcMar>
              <w:top w:type="dxa" w:w="60"/>
              <w:left w:type="dxa" w:w="100"/>
              <w:bottom w:type="dxa" w:w="60"/>
              <w:right w:type="dxa" w:w="60"/>
            </w:tcMar>
          </w:tcPr>
          <w:p>
            <w:r>
              <w:rPr>
                <w:color w:val="000000"/>
                <w:sz w:val="18"/>
                <w:szCs w:val="18"/>
              </w:rPr>
              <w:t xml:space="preserve">.NET 8.0 LTS — DDD Clean Architecture</w:t>
            </w:r>
          </w:p>
        </w:tc>
      </w:tr>
      <w:tr>
        <w:tc>
          <w:tcPr>
            <w:tcW w:type="dxa" w:w="2400"/>
            <w:shd w:fill="FFFFFF" w:val="clear"/>
            <w:tcMar>
              <w:top w:type="dxa" w:w="60"/>
              <w:left w:type="dxa" w:w="100"/>
              <w:bottom w:type="dxa" w:w="60"/>
              <w:right w:type="dxa" w:w="60"/>
            </w:tcMar>
          </w:tcPr>
          <w:p>
            <w:r>
              <w:rPr>
                <w:color w:val="000000"/>
                <w:sz w:val="18"/>
                <w:szCs w:val="18"/>
              </w:rPr>
              <w:t xml:space="preserve">Author / Principal Architect</w:t>
            </w:r>
          </w:p>
        </w:tc>
        <w:tc>
          <w:tcPr>
            <w:tcW w:type="dxa" w:w="7100"/>
            <w:shd w:fill="FFFFFF" w:val="clear"/>
            <w:tcMar>
              <w:top w:type="dxa" w:w="60"/>
              <w:left w:type="dxa" w:w="100"/>
              <w:bottom w:type="dxa" w:w="60"/>
              <w:right w:type="dxa" w:w="60"/>
            </w:tcMar>
          </w:tcPr>
          <w:p>
            <w:r>
              <w:rPr>
                <w:color w:val="000000"/>
                <w:sz w:val="18"/>
                <w:szCs w:val="18"/>
              </w:rPr>
              <w:t xml:space="preserve">Harshal Yelpale</w:t>
            </w:r>
          </w:p>
        </w:tc>
      </w:tr>
      <w:tr>
        <w:tc>
          <w:tcPr>
            <w:tcW w:type="dxa" w:w="2400"/>
            <w:shd w:fill="F5F5F5" w:val="clear"/>
            <w:tcMar>
              <w:top w:type="dxa" w:w="60"/>
              <w:left w:type="dxa" w:w="100"/>
              <w:bottom w:type="dxa" w:w="60"/>
              <w:right w:type="dxa" w:w="60"/>
            </w:tcMar>
          </w:tcPr>
          <w:p>
            <w:r>
              <w:rPr>
                <w:color w:val="000000"/>
                <w:sz w:val="18"/>
                <w:szCs w:val="18"/>
              </w:rPr>
              <w:t xml:space="preserve">Document Version</w:t>
            </w:r>
          </w:p>
        </w:tc>
        <w:tc>
          <w:tcPr>
            <w:tcW w:type="dxa" w:w="7100"/>
            <w:shd w:fill="F5F5F5" w:val="clear"/>
            <w:tcMar>
              <w:top w:type="dxa" w:w="60"/>
              <w:left w:type="dxa" w:w="100"/>
              <w:bottom w:type="dxa" w:w="60"/>
              <w:right w:type="dxa" w:w="60"/>
            </w:tcMar>
          </w:tcPr>
          <w:p>
            <w:r>
              <w:rPr>
                <w:color w:val="000000"/>
                <w:sz w:val="18"/>
                <w:szCs w:val="18"/>
              </w:rPr>
              <w:t xml:space="preserve">2.1.0 (Reviewed &amp; Enhanced)</w:t>
            </w:r>
          </w:p>
        </w:tc>
      </w:tr>
      <w:tr>
        <w:tc>
          <w:tcPr>
            <w:tcW w:type="dxa" w:w="2400"/>
            <w:shd w:fill="FFFFFF" w:val="clear"/>
            <w:tcMar>
              <w:top w:type="dxa" w:w="60"/>
              <w:left w:type="dxa" w:w="100"/>
              <w:bottom w:type="dxa" w:w="60"/>
              <w:right w:type="dxa" w:w="60"/>
            </w:tcMar>
          </w:tcPr>
          <w:p>
            <w:r>
              <w:rPr>
                <w:color w:val="000000"/>
                <w:sz w:val="18"/>
                <w:szCs w:val="18"/>
              </w:rPr>
              <w:t xml:space="preserve">Date of Issuance</w:t>
            </w:r>
          </w:p>
        </w:tc>
        <w:tc>
          <w:tcPr>
            <w:tcW w:type="dxa" w:w="7100"/>
            <w:shd w:fill="FFFFFF" w:val="clear"/>
            <w:tcMar>
              <w:top w:type="dxa" w:w="60"/>
              <w:left w:type="dxa" w:w="100"/>
              <w:bottom w:type="dxa" w:w="60"/>
              <w:right w:type="dxa" w:w="60"/>
            </w:tcMar>
          </w:tcPr>
          <w:p>
            <w:r>
              <w:rPr>
                <w:color w:val="000000"/>
                <w:sz w:val="18"/>
                <w:szCs w:val="18"/>
              </w:rPr>
              <w:t xml:space="preserve">June 2026</w:t>
            </w:r>
          </w:p>
        </w:tc>
      </w:tr>
      <w:tr>
        <w:tc>
          <w:tcPr>
            <w:tcW w:type="dxa" w:w="2400"/>
            <w:shd w:fill="F5F5F5" w:val="clear"/>
            <w:tcMar>
              <w:top w:type="dxa" w:w="60"/>
              <w:left w:type="dxa" w:w="100"/>
              <w:bottom w:type="dxa" w:w="60"/>
              <w:right w:type="dxa" w:w="60"/>
            </w:tcMar>
          </w:tcPr>
          <w:p>
            <w:r>
              <w:rPr>
                <w:color w:val="000000"/>
                <w:sz w:val="18"/>
                <w:szCs w:val="18"/>
              </w:rPr>
              <w:t xml:space="preserve">Classification</w:t>
            </w:r>
          </w:p>
        </w:tc>
        <w:tc>
          <w:tcPr>
            <w:tcW w:type="dxa" w:w="7100"/>
            <w:shd w:fill="F5F5F5" w:val="clear"/>
            <w:tcMar>
              <w:top w:type="dxa" w:w="60"/>
              <w:left w:type="dxa" w:w="100"/>
              <w:bottom w:type="dxa" w:w="60"/>
              <w:right w:type="dxa" w:w="60"/>
            </w:tcMar>
          </w:tcPr>
          <w:p>
            <w:r>
              <w:rPr>
                <w:color w:val="000000"/>
                <w:sz w:val="18"/>
                <w:szCs w:val="18"/>
              </w:rPr>
              <w:t xml:space="preserve">Internal — Restricted</w:t>
            </w:r>
          </w:p>
        </w:tc>
      </w:tr>
      <w:tr>
        <w:tc>
          <w:tcPr>
            <w:tcW w:type="dxa" w:w="2400"/>
            <w:shd w:fill="FFFFFF" w:val="clear"/>
            <w:tcMar>
              <w:top w:type="dxa" w:w="60"/>
              <w:left w:type="dxa" w:w="100"/>
              <w:bottom w:type="dxa" w:w="60"/>
              <w:right w:type="dxa" w:w="60"/>
            </w:tcMar>
          </w:tcPr>
          <w:p>
            <w:r>
              <w:rPr>
                <w:color w:val="000000"/>
                <w:sz w:val="18"/>
                <w:szCs w:val="18"/>
              </w:rPr>
              <w:t xml:space="preserve">Status</w:t>
            </w:r>
          </w:p>
        </w:tc>
        <w:tc>
          <w:tcPr>
            <w:tcW w:type="dxa" w:w="7100"/>
            <w:shd w:fill="FFFFFF" w:val="clear"/>
            <w:tcMar>
              <w:top w:type="dxa" w:w="60"/>
              <w:left w:type="dxa" w:w="100"/>
              <w:bottom w:type="dxa" w:w="60"/>
              <w:right w:type="dxa" w:w="60"/>
            </w:tcMar>
          </w:tcPr>
          <w:p>
            <w:r>
              <w:rPr>
                <w:color w:val="000000"/>
                <w:sz w:val="18"/>
                <w:szCs w:val="18"/>
              </w:rPr>
              <w:t xml:space="preserve">Production-Ready (UAT Approved)</w:t>
            </w:r>
          </w:p>
        </w:tc>
      </w:tr>
    </w:tbl>
    <w:p/>
    <w:p>
      <w:pPr>
        <w:spacing w:after="0" w:before="200"/>
        <w:jc w:val="center"/>
      </w:pPr>
      <w:r>
        <w:rPr>
          <w:i/>
          <w:iCs/>
          <w:color w:val="757575"/>
          <w:sz w:val="16"/>
          <w:szCs w:val="16"/>
        </w:rPr>
        <w:t xml:space="preserve">Intervention Management Platform  ·  UK Water Sector  ·  CONFIDENTIAL</w:t>
      </w:r>
    </w:p>
    <w:p>
      <w:r>
        <w:br w:type="page"/>
      </w:r>
    </w:p>
    <w:tbl>
      <w:tblPr>
        <w:tblW w:type="pct" w:w="100%"/>
        <w:tblBorders>
          <w:top w:val="none"/>
          <w:left w:val="none"/>
          <w:bottom w:val="none"/>
          <w:right w:val="none"/>
          <w:insideH w:val="single" w:color="auto" w:sz="4"/>
          <w:insideV w:val="single" w:color="auto" w:sz="4"/>
        </w:tblBorders>
      </w:tblPr>
      <w:tblGrid>
        <w:gridCol w:w="1200"/>
        <w:gridCol w:w="8300"/>
      </w:tblGrid>
      <w:tr>
        <w:tc>
          <w:tcPr>
            <w:tcW w:type="dxa" w:w="1200"/>
            <w:shd w:fill="0D2B5C" w:val="clear"/>
            <w:tcMar>
              <w:top w:type="dxa" w:w="100"/>
              <w:left w:type="dxa" w:w="120"/>
              <w:bottom w:type="dxa" w:w="100"/>
              <w:right w:type="dxa" w:w="60"/>
            </w:tcMar>
            <w:vAlign w:val="center"/>
          </w:tcPr>
          <w:p>
            <w:pPr>
              <w:jc w:val="center"/>
            </w:pPr>
            <w:r>
              <w:rPr>
                <w:rFonts w:ascii="Calibri" w:cs="Calibri" w:eastAsia="Calibri" w:hAnsi="Calibri"/>
                <w:b/>
                <w:bCs/>
                <w:color w:val="FFFFFF"/>
                <w:sz w:val="32"/>
                <w:szCs w:val="32"/>
              </w:rPr>
              <w:t xml:space="preserve">§1</w:t>
            </w:r>
          </w:p>
        </w:tc>
        <w:tc>
          <w:tcPr>
            <w:tcW w:type="dxa" w:w="8300"/>
            <w:shd w:fill="E3EEF9" w:val="clear"/>
            <w:tcMar>
              <w:top w:type="dxa" w:w="80"/>
              <w:left w:type="dxa" w:w="160"/>
              <w:bottom w:type="dxa" w:w="80"/>
              <w:right w:type="dxa" w:w="80"/>
            </w:tcMar>
          </w:tcPr>
          <w:p>
            <w:pPr>
              <w:spacing w:after="40" w:before="0"/>
            </w:pPr>
            <w:r>
              <w:rPr>
                <w:rFonts w:ascii="Calibri" w:cs="Calibri" w:eastAsia="Calibri" w:hAnsi="Calibri"/>
                <w:b/>
                <w:bCs/>
                <w:color w:val="0D2B5C"/>
                <w:sz w:val="26"/>
                <w:szCs w:val="26"/>
              </w:rPr>
              <w:t xml:space="preserve">Document Control &amp; Metadata</w:t>
            </w:r>
          </w:p>
          <w:p>
            <w:pPr>
              <w:spacing w:after="0" w:before="0"/>
            </w:pPr>
            <w:r>
              <w:rPr>
                <w:i/>
                <w:iCs/>
                <w:color w:val="006DA3"/>
                <w:sz w:val="18"/>
                <w:szCs w:val="18"/>
              </w:rPr>
              <w:t xml:space="preserve">Revision history, technology stack, and document purpose</w:t>
            </w:r>
          </w:p>
        </w:tc>
      </w:tr>
    </w:tbl>
    <w:p/>
    <w:p>
      <w:pPr>
        <w:pStyle w:val="Heading2"/>
        <w:spacing w:after="120" w:before="320"/>
      </w:pPr>
      <w:r>
        <w:t xml:space="preserve">1.1  Revision History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000"/>
        <w:gridCol w:w="1400"/>
        <w:gridCol w:w="6300"/>
      </w:tblGrid>
      <w:tr>
        <w:trPr>
          <w:tblHeader/>
        </w:trPr>
        <w:tc>
          <w:tcPr>
            <w:tcW w:type="dxa" w:w="800"/>
            <w:shd w:fill="0D2B5C" w:val="clear"/>
            <w:tcMar>
              <w:top w:type="dxa" w:w="60"/>
              <w:left w:type="dxa" w:w="100"/>
              <w:bottom w:type="dxa" w:w="60"/>
              <w:right w:type="dxa" w:w="60"/>
            </w:tcMar>
          </w:tcPr>
          <w:p>
            <w:r>
              <w:rPr>
                <w:b/>
                <w:bCs/>
                <w:color w:val="FFFFFF"/>
                <w:sz w:val="18"/>
                <w:szCs w:val="18"/>
              </w:rPr>
              <w:t xml:space="preserve">Version</w:t>
            </w:r>
          </w:p>
        </w:tc>
        <w:tc>
          <w:tcPr>
            <w:tcW w:type="dxa" w:w="1000"/>
            <w:shd w:fill="0D2B5C" w:val="clear"/>
            <w:tcMar>
              <w:top w:type="dxa" w:w="60"/>
              <w:left w:type="dxa" w:w="100"/>
              <w:bottom w:type="dxa" w:w="60"/>
              <w:right w:type="dxa" w:w="60"/>
            </w:tcMar>
          </w:tcPr>
          <w:p>
            <w:r>
              <w:rPr>
                <w:b/>
                <w:bCs/>
                <w:color w:val="FFFFFF"/>
                <w:sz w:val="18"/>
                <w:szCs w:val="18"/>
              </w:rPr>
              <w:t xml:space="preserve">Date</w:t>
            </w:r>
          </w:p>
        </w:tc>
        <w:tc>
          <w:tcPr>
            <w:tcW w:type="dxa" w:w="1400"/>
            <w:shd w:fill="0D2B5C" w:val="clear"/>
            <w:tcMar>
              <w:top w:type="dxa" w:w="60"/>
              <w:left w:type="dxa" w:w="100"/>
              <w:bottom w:type="dxa" w:w="60"/>
              <w:right w:type="dxa" w:w="60"/>
            </w:tcMar>
          </w:tcPr>
          <w:p>
            <w:r>
              <w:rPr>
                <w:b/>
                <w:bCs/>
                <w:color w:val="FFFFFF"/>
                <w:sz w:val="18"/>
                <w:szCs w:val="18"/>
              </w:rPr>
              <w:t xml:space="preserve">Author</w:t>
            </w:r>
          </w:p>
        </w:tc>
        <w:tc>
          <w:tcPr>
            <w:tcW w:type="dxa" w:w="6300"/>
            <w:shd w:fill="0D2B5C" w:val="clear"/>
            <w:tcMar>
              <w:top w:type="dxa" w:w="60"/>
              <w:left w:type="dxa" w:w="100"/>
              <w:bottom w:type="dxa" w:w="60"/>
              <w:right w:type="dxa" w:w="60"/>
            </w:tcMar>
          </w:tcPr>
          <w:p>
            <w:r>
              <w:rPr>
                <w:b/>
                <w:bCs/>
                <w:color w:val="FFFFFF"/>
                <w:sz w:val="18"/>
                <w:szCs w:val="18"/>
              </w:rPr>
              <w:t xml:space="preserve">Changes</w:t>
            </w:r>
          </w:p>
        </w:tc>
      </w:tr>
      <w:tr>
        <w:tc>
          <w:tcPr>
            <w:tcW w:type="dxa" w:w="800"/>
            <w:shd w:fill="FFFFFF" w:val="clear"/>
            <w:tcMar>
              <w:top w:type="dxa" w:w="60"/>
              <w:left w:type="dxa" w:w="100"/>
              <w:bottom w:type="dxa" w:w="60"/>
              <w:right w:type="dxa" w:w="60"/>
            </w:tcMar>
          </w:tcPr>
          <w:p>
            <w:r>
              <w:rPr>
                <w:color w:val="000000"/>
                <w:sz w:val="18"/>
                <w:szCs w:val="18"/>
              </w:rPr>
              <w:t xml:space="preserve">1.0.0</w:t>
            </w:r>
          </w:p>
        </w:tc>
        <w:tc>
          <w:tcPr>
            <w:tcW w:type="dxa" w:w="1000"/>
            <w:shd w:fill="FFFFFF" w:val="clear"/>
            <w:tcMar>
              <w:top w:type="dxa" w:w="60"/>
              <w:left w:type="dxa" w:w="100"/>
              <w:bottom w:type="dxa" w:w="60"/>
              <w:right w:type="dxa" w:w="60"/>
            </w:tcMar>
          </w:tcPr>
          <w:p>
            <w:r>
              <w:rPr>
                <w:color w:val="000000"/>
                <w:sz w:val="18"/>
                <w:szCs w:val="18"/>
              </w:rPr>
              <w:t xml:space="preserve">12-Jun-2026</w:t>
            </w:r>
          </w:p>
        </w:tc>
        <w:tc>
          <w:tcPr>
            <w:tcW w:type="dxa" w:w="1400"/>
            <w:shd w:fill="FFFFFF" w:val="clear"/>
            <w:tcMar>
              <w:top w:type="dxa" w:w="60"/>
              <w:left w:type="dxa" w:w="100"/>
              <w:bottom w:type="dxa" w:w="60"/>
              <w:right w:type="dxa" w:w="60"/>
            </w:tcMar>
          </w:tcPr>
          <w:p>
            <w:r>
              <w:rPr>
                <w:color w:val="000000"/>
                <w:sz w:val="18"/>
                <w:szCs w:val="18"/>
              </w:rPr>
              <w:t xml:space="preserve">H. Yelpale</w:t>
            </w:r>
          </w:p>
        </w:tc>
        <w:tc>
          <w:tcPr>
            <w:tcW w:type="dxa" w:w="6300"/>
            <w:shd w:fill="FFFFFF" w:val="clear"/>
            <w:tcMar>
              <w:top w:type="dxa" w:w="60"/>
              <w:left w:type="dxa" w:w="100"/>
              <w:bottom w:type="dxa" w:w="60"/>
              <w:right w:type="dxa" w:w="60"/>
            </w:tcMar>
          </w:tcPr>
          <w:p>
            <w:r>
              <w:rPr>
                <w:color w:val="000000"/>
                <w:sz w:val="18"/>
                <w:szCs w:val="18"/>
              </w:rPr>
              <w:t xml:space="preserve">Initial SSO branch formulation. Dual-login schema models established under feature_hby_SSO_12JUN26.</w:t>
            </w:r>
          </w:p>
        </w:tc>
      </w:tr>
      <w:tr>
        <w:tc>
          <w:tcPr>
            <w:tcW w:type="dxa" w:w="800"/>
            <w:shd w:fill="F5F5F5" w:val="clear"/>
            <w:tcMar>
              <w:top w:type="dxa" w:w="60"/>
              <w:left w:type="dxa" w:w="100"/>
              <w:bottom w:type="dxa" w:w="60"/>
              <w:right w:type="dxa" w:w="60"/>
            </w:tcMar>
          </w:tcPr>
          <w:p>
            <w:r>
              <w:rPr>
                <w:color w:val="000000"/>
                <w:sz w:val="18"/>
                <w:szCs w:val="18"/>
              </w:rPr>
              <w:t xml:space="preserve">1.1.0</w:t>
            </w:r>
          </w:p>
        </w:tc>
        <w:tc>
          <w:tcPr>
            <w:tcW w:type="dxa" w:w="1000"/>
            <w:shd w:fill="F5F5F5" w:val="clear"/>
            <w:tcMar>
              <w:top w:type="dxa" w:w="60"/>
              <w:left w:type="dxa" w:w="100"/>
              <w:bottom w:type="dxa" w:w="60"/>
              <w:right w:type="dxa" w:w="60"/>
            </w:tcMar>
          </w:tcPr>
          <w:p>
            <w:r>
              <w:rPr>
                <w:color w:val="000000"/>
                <w:sz w:val="18"/>
                <w:szCs w:val="18"/>
              </w:rPr>
              <w:t xml:space="preserve">20-Jun-2026</w:t>
            </w:r>
          </w:p>
        </w:tc>
        <w:tc>
          <w:tcPr>
            <w:tcW w:type="dxa" w:w="1400"/>
            <w:shd w:fill="F5F5F5" w:val="clear"/>
            <w:tcMar>
              <w:top w:type="dxa" w:w="60"/>
              <w:left w:type="dxa" w:w="100"/>
              <w:bottom w:type="dxa" w:w="60"/>
              <w:right w:type="dxa" w:w="60"/>
            </w:tcMar>
          </w:tcPr>
          <w:p>
            <w:r>
              <w:rPr>
                <w:color w:val="000000"/>
                <w:sz w:val="18"/>
                <w:szCs w:val="18"/>
              </w:rPr>
              <w:t xml:space="preserve">H. Yelpale</w:t>
            </w:r>
          </w:p>
        </w:tc>
        <w:tc>
          <w:tcPr>
            <w:tcW w:type="dxa" w:w="6300"/>
            <w:shd w:fill="F5F5F5" w:val="clear"/>
            <w:tcMar>
              <w:top w:type="dxa" w:w="60"/>
              <w:left w:type="dxa" w:w="100"/>
              <w:bottom w:type="dxa" w:w="60"/>
              <w:right w:type="dxa" w:w="60"/>
            </w:tcMar>
          </w:tcPr>
          <w:p>
            <w:r>
              <w:rPr>
                <w:color w:val="000000"/>
                <w:sz w:val="18"/>
                <w:szCs w:val="18"/>
              </w:rPr>
              <w:t xml:space="preserve">Resolved MSAL caching race conditions. Direct header injection in UI layer. IT-group typo normalisation added.</w:t>
            </w:r>
          </w:p>
        </w:tc>
      </w:tr>
      <w:tr>
        <w:tc>
          <w:tcPr>
            <w:tcW w:type="dxa" w:w="800"/>
            <w:shd w:fill="FFFFFF" w:val="clear"/>
            <w:tcMar>
              <w:top w:type="dxa" w:w="60"/>
              <w:left w:type="dxa" w:w="100"/>
              <w:bottom w:type="dxa" w:w="60"/>
              <w:right w:type="dxa" w:w="60"/>
            </w:tcMar>
          </w:tcPr>
          <w:p>
            <w:r>
              <w:rPr>
                <w:color w:val="000000"/>
                <w:sz w:val="18"/>
                <w:szCs w:val="18"/>
              </w:rPr>
              <w:t xml:space="preserve">2.0.0</w:t>
            </w:r>
          </w:p>
        </w:tc>
        <w:tc>
          <w:tcPr>
            <w:tcW w:type="dxa" w:w="1000"/>
            <w:shd w:fill="FFFFFF" w:val="clear"/>
            <w:tcMar>
              <w:top w:type="dxa" w:w="60"/>
              <w:left w:type="dxa" w:w="100"/>
              <w:bottom w:type="dxa" w:w="60"/>
              <w:right w:type="dxa" w:w="60"/>
            </w:tcMar>
          </w:tcPr>
          <w:p>
            <w:r>
              <w:rPr>
                <w:color w:val="000000"/>
                <w:sz w:val="18"/>
                <w:szCs w:val="18"/>
              </w:rPr>
              <w:t xml:space="preserve">26-Jun-2026</w:t>
            </w:r>
          </w:p>
        </w:tc>
        <w:tc>
          <w:tcPr>
            <w:tcW w:type="dxa" w:w="1400"/>
            <w:shd w:fill="FFFFFF" w:val="clear"/>
            <w:tcMar>
              <w:top w:type="dxa" w:w="60"/>
              <w:left w:type="dxa" w:w="100"/>
              <w:bottom w:type="dxa" w:w="60"/>
              <w:right w:type="dxa" w:w="60"/>
            </w:tcMar>
          </w:tcPr>
          <w:p>
            <w:r>
              <w:rPr>
                <w:color w:val="000000"/>
                <w:sz w:val="18"/>
                <w:szCs w:val="18"/>
              </w:rPr>
              <w:t xml:space="preserve">H. Yelpale</w:t>
            </w:r>
          </w:p>
        </w:tc>
        <w:tc>
          <w:tcPr>
            <w:tcW w:type="dxa" w:w="6300"/>
            <w:shd w:fill="FFFFFF" w:val="clear"/>
            <w:tcMar>
              <w:top w:type="dxa" w:w="60"/>
              <w:left w:type="dxa" w:w="100"/>
              <w:bottom w:type="dxa" w:w="60"/>
              <w:right w:type="dxa" w:w="60"/>
            </w:tcMar>
          </w:tcPr>
          <w:p>
            <w:r>
              <w:rPr>
                <w:color w:val="000000"/>
                <w:sz w:val="18"/>
                <w:szCs w:val="18"/>
              </w:rPr>
              <w:t xml:space="preserve">Self-healing role elevation mappings. Multi-tier deployment slot sticky configurations finalised.</w:t>
            </w:r>
          </w:p>
        </w:tc>
      </w:tr>
      <w:tr>
        <w:tc>
          <w:tcPr>
            <w:tcW w:type="dxa" w:w="800"/>
            <w:shd w:fill="F5F5F5" w:val="clear"/>
            <w:tcMar>
              <w:top w:type="dxa" w:w="60"/>
              <w:left w:type="dxa" w:w="100"/>
              <w:bottom w:type="dxa" w:w="60"/>
              <w:right w:type="dxa" w:w="60"/>
            </w:tcMar>
          </w:tcPr>
          <w:p>
            <w:r>
              <w:rPr>
                <w:color w:val="000000"/>
                <w:sz w:val="18"/>
                <w:szCs w:val="18"/>
              </w:rPr>
              <w:t xml:space="preserve">2.1.0</w:t>
            </w:r>
          </w:p>
        </w:tc>
        <w:tc>
          <w:tcPr>
            <w:tcW w:type="dxa" w:w="1000"/>
            <w:shd w:fill="F5F5F5" w:val="clear"/>
            <w:tcMar>
              <w:top w:type="dxa" w:w="60"/>
              <w:left w:type="dxa" w:w="100"/>
              <w:bottom w:type="dxa" w:w="60"/>
              <w:right w:type="dxa" w:w="60"/>
            </w:tcMar>
          </w:tcPr>
          <w:p>
            <w:r>
              <w:rPr>
                <w:color w:val="000000"/>
                <w:sz w:val="18"/>
                <w:szCs w:val="18"/>
              </w:rPr>
              <w:t xml:space="preserve">Jul-2026</w:t>
            </w:r>
          </w:p>
        </w:tc>
        <w:tc>
          <w:tcPr>
            <w:tcW w:type="dxa" w:w="1400"/>
            <w:shd w:fill="F5F5F5" w:val="clear"/>
            <w:tcMar>
              <w:top w:type="dxa" w:w="60"/>
              <w:left w:type="dxa" w:w="100"/>
              <w:bottom w:type="dxa" w:w="60"/>
              <w:right w:type="dxa" w:w="60"/>
            </w:tcMar>
          </w:tcPr>
          <w:p>
            <w:r>
              <w:rPr>
                <w:color w:val="000000"/>
                <w:sz w:val="18"/>
                <w:szCs w:val="18"/>
              </w:rPr>
              <w:t xml:space="preserve">H. Yelpale</w:t>
            </w:r>
          </w:p>
        </w:tc>
        <w:tc>
          <w:tcPr>
            <w:tcW w:type="dxa" w:w="6300"/>
            <w:shd w:fill="F5F5F5" w:val="clear"/>
            <w:tcMar>
              <w:top w:type="dxa" w:w="60"/>
              <w:left w:type="dxa" w:w="100"/>
              <w:bottom w:type="dxa" w:w="60"/>
              <w:right w:type="dxa" w:w="60"/>
            </w:tcMar>
          </w:tcPr>
          <w:p>
            <w:r>
              <w:rPr>
                <w:color w:val="000000"/>
                <w:sz w:val="18"/>
                <w:szCs w:val="18"/>
              </w:rPr>
              <w:t xml:space="preserve">Enhanced SAD: Executive summary expanded, environment topology, App Registration detail, Graph API section, Security Considerations, Risk Register, Auto-Provisioning flow added.</w:t>
            </w:r>
          </w:p>
        </w:tc>
      </w:tr>
    </w:tbl>
    <w:p/>
    <w:p>
      <w:pPr>
        <w:pStyle w:val="Heading2"/>
        <w:spacing w:after="120" w:before="320"/>
      </w:pPr>
      <w:r>
        <w:t xml:space="preserve">1.2  Core Technology Stack</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2000"/>
        <w:gridCol w:w="2500"/>
        <w:gridCol w:w="5000"/>
      </w:tblGrid>
      <w:tr>
        <w:trPr>
          <w:tblHeader/>
        </w:trPr>
        <w:tc>
          <w:tcPr>
            <w:tcW w:type="dxa" w:w="2000"/>
            <w:shd w:fill="0D2B5C" w:val="clear"/>
            <w:tcMar>
              <w:top w:type="dxa" w:w="60"/>
              <w:left w:type="dxa" w:w="100"/>
              <w:bottom w:type="dxa" w:w="60"/>
              <w:right w:type="dxa" w:w="60"/>
            </w:tcMar>
          </w:tcPr>
          <w:p>
            <w:r>
              <w:rPr>
                <w:b/>
                <w:bCs/>
                <w:color w:val="FFFFFF"/>
                <w:sz w:val="18"/>
                <w:szCs w:val="18"/>
              </w:rPr>
              <w:t xml:space="preserve">Layer</w:t>
            </w:r>
          </w:p>
        </w:tc>
        <w:tc>
          <w:tcPr>
            <w:tcW w:type="dxa" w:w="2500"/>
            <w:shd w:fill="0D2B5C" w:val="clear"/>
            <w:tcMar>
              <w:top w:type="dxa" w:w="60"/>
              <w:left w:type="dxa" w:w="100"/>
              <w:bottom w:type="dxa" w:w="60"/>
              <w:right w:type="dxa" w:w="60"/>
            </w:tcMar>
          </w:tcPr>
          <w:p>
            <w:r>
              <w:rPr>
                <w:b/>
                <w:bCs/>
                <w:color w:val="FFFFFF"/>
                <w:sz w:val="18"/>
                <w:szCs w:val="18"/>
              </w:rPr>
              <w:t xml:space="preserve">Technology</w:t>
            </w:r>
          </w:p>
        </w:tc>
        <w:tc>
          <w:tcPr>
            <w:tcW w:type="dxa" w:w="5000"/>
            <w:shd w:fill="0D2B5C" w:val="clear"/>
            <w:tcMar>
              <w:top w:type="dxa" w:w="60"/>
              <w:left w:type="dxa" w:w="100"/>
              <w:bottom w:type="dxa" w:w="60"/>
              <w:right w:type="dxa" w:w="60"/>
            </w:tcMar>
          </w:tcPr>
          <w:p>
            <w:r>
              <w:rPr>
                <w:b/>
                <w:bCs/>
                <w:color w:val="FFFFFF"/>
                <w:sz w:val="18"/>
                <w:szCs w:val="18"/>
              </w:rPr>
              <w:t xml:space="preserve">Notes</w:t>
            </w:r>
          </w:p>
        </w:tc>
      </w:tr>
      <w:tr>
        <w:tc>
          <w:tcPr>
            <w:tcW w:type="dxa" w:w="2000"/>
            <w:shd w:fill="FFFFFF" w:val="clear"/>
            <w:tcMar>
              <w:top w:type="dxa" w:w="60"/>
              <w:left w:type="dxa" w:w="100"/>
              <w:bottom w:type="dxa" w:w="60"/>
              <w:right w:type="dxa" w:w="60"/>
            </w:tcMar>
          </w:tcPr>
          <w:p>
            <w:r>
              <w:rPr>
                <w:color w:val="000000"/>
                <w:sz w:val="18"/>
                <w:szCs w:val="18"/>
              </w:rPr>
              <w:t xml:space="preserve">Frontend UI</w:t>
            </w:r>
          </w:p>
        </w:tc>
        <w:tc>
          <w:tcPr>
            <w:tcW w:type="dxa" w:w="2500"/>
            <w:shd w:fill="FFFFFF" w:val="clear"/>
            <w:tcMar>
              <w:top w:type="dxa" w:w="60"/>
              <w:left w:type="dxa" w:w="100"/>
              <w:bottom w:type="dxa" w:w="60"/>
              <w:right w:type="dxa" w:w="60"/>
            </w:tcMar>
          </w:tcPr>
          <w:p>
            <w:r>
              <w:rPr>
                <w:color w:val="000000"/>
                <w:sz w:val="18"/>
                <w:szCs w:val="18"/>
              </w:rPr>
              <w:t xml:space="preserve">ASP.NET Core MVC (.NET 8 LTS)</w:t>
            </w:r>
          </w:p>
        </w:tc>
        <w:tc>
          <w:tcPr>
            <w:tcW w:type="dxa" w:w="5000"/>
            <w:shd w:fill="FFFFFF" w:val="clear"/>
            <w:tcMar>
              <w:top w:type="dxa" w:w="60"/>
              <w:left w:type="dxa" w:w="100"/>
              <w:bottom w:type="dxa" w:w="60"/>
              <w:right w:type="dxa" w:w="60"/>
            </w:tcMar>
          </w:tcPr>
          <w:p>
            <w:r>
              <w:rPr>
                <w:color w:val="000000"/>
                <w:sz w:val="18"/>
                <w:szCs w:val="18"/>
              </w:rPr>
              <w:t xml:space="preserve">Cookie + OIDC dual-auth pipeline</w:t>
            </w:r>
          </w:p>
        </w:tc>
      </w:tr>
      <w:tr>
        <w:tc>
          <w:tcPr>
            <w:tcW w:type="dxa" w:w="2000"/>
            <w:shd w:fill="F5F5F5" w:val="clear"/>
            <w:tcMar>
              <w:top w:type="dxa" w:w="60"/>
              <w:left w:type="dxa" w:w="100"/>
              <w:bottom w:type="dxa" w:w="60"/>
              <w:right w:type="dxa" w:w="60"/>
            </w:tcMar>
          </w:tcPr>
          <w:p>
            <w:r>
              <w:rPr>
                <w:color w:val="000000"/>
                <w:sz w:val="18"/>
                <w:szCs w:val="18"/>
              </w:rPr>
              <w:t xml:space="preserve">Backend API</w:t>
            </w:r>
          </w:p>
        </w:tc>
        <w:tc>
          <w:tcPr>
            <w:tcW w:type="dxa" w:w="2500"/>
            <w:shd w:fill="F5F5F5" w:val="clear"/>
            <w:tcMar>
              <w:top w:type="dxa" w:w="60"/>
              <w:left w:type="dxa" w:w="100"/>
              <w:bottom w:type="dxa" w:w="60"/>
              <w:right w:type="dxa" w:w="60"/>
            </w:tcMar>
          </w:tcPr>
          <w:p>
            <w:r>
              <w:rPr>
                <w:color w:val="000000"/>
                <w:sz w:val="18"/>
                <w:szCs w:val="18"/>
              </w:rPr>
              <w:t xml:space="preserve">ASP.NET Core Web API (.NET 8 LTS)</w:t>
            </w:r>
          </w:p>
        </w:tc>
        <w:tc>
          <w:tcPr>
            <w:tcW w:type="dxa" w:w="5000"/>
            <w:shd w:fill="F5F5F5" w:val="clear"/>
            <w:tcMar>
              <w:top w:type="dxa" w:w="60"/>
              <w:left w:type="dxa" w:w="100"/>
              <w:bottom w:type="dxa" w:w="60"/>
              <w:right w:type="dxa" w:w="60"/>
            </w:tcMar>
          </w:tcPr>
          <w:p>
            <w:r>
              <w:rPr>
                <w:color w:val="000000"/>
                <w:sz w:val="18"/>
                <w:szCs w:val="18"/>
              </w:rPr>
              <w:t xml:space="preserve">Stateless RESTful resource server, JWT Bearer</w:t>
            </w:r>
          </w:p>
        </w:tc>
      </w:tr>
      <w:tr>
        <w:tc>
          <w:tcPr>
            <w:tcW w:type="dxa" w:w="2000"/>
            <w:shd w:fill="FFFFFF" w:val="clear"/>
            <w:tcMar>
              <w:top w:type="dxa" w:w="60"/>
              <w:left w:type="dxa" w:w="100"/>
              <w:bottom w:type="dxa" w:w="60"/>
              <w:right w:type="dxa" w:w="60"/>
            </w:tcMar>
          </w:tcPr>
          <w:p>
            <w:r>
              <w:rPr>
                <w:color w:val="000000"/>
                <w:sz w:val="18"/>
                <w:szCs w:val="18"/>
              </w:rPr>
              <w:t xml:space="preserve">Identity Provider</w:t>
            </w:r>
          </w:p>
        </w:tc>
        <w:tc>
          <w:tcPr>
            <w:tcW w:type="dxa" w:w="2500"/>
            <w:shd w:fill="FFFFFF" w:val="clear"/>
            <w:tcMar>
              <w:top w:type="dxa" w:w="60"/>
              <w:left w:type="dxa" w:w="100"/>
              <w:bottom w:type="dxa" w:w="60"/>
              <w:right w:type="dxa" w:w="60"/>
            </w:tcMar>
          </w:tcPr>
          <w:p>
            <w:r>
              <w:rPr>
                <w:color w:val="000000"/>
                <w:sz w:val="18"/>
                <w:szCs w:val="18"/>
              </w:rPr>
              <w:t xml:space="preserve">Microsoft Entra ID (Azure AD)</w:t>
            </w:r>
          </w:p>
        </w:tc>
        <w:tc>
          <w:tcPr>
            <w:tcW w:type="dxa" w:w="5000"/>
            <w:shd w:fill="FFFFFF" w:val="clear"/>
            <w:tcMar>
              <w:top w:type="dxa" w:w="60"/>
              <w:left w:type="dxa" w:w="100"/>
              <w:bottom w:type="dxa" w:w="60"/>
              <w:right w:type="dxa" w:w="60"/>
            </w:tcMar>
          </w:tcPr>
          <w:p>
            <w:r>
              <w:rPr>
                <w:color w:val="000000"/>
                <w:sz w:val="18"/>
                <w:szCs w:val="18"/>
              </w:rPr>
              <w:t xml:space="preserve">OpenID Connect + OAuth 2.0</w:t>
            </w:r>
          </w:p>
        </w:tc>
      </w:tr>
      <w:tr>
        <w:tc>
          <w:tcPr>
            <w:tcW w:type="dxa" w:w="2000"/>
            <w:shd w:fill="F5F5F5" w:val="clear"/>
            <w:tcMar>
              <w:top w:type="dxa" w:w="60"/>
              <w:left w:type="dxa" w:w="100"/>
              <w:bottom w:type="dxa" w:w="60"/>
              <w:right w:type="dxa" w:w="60"/>
            </w:tcMar>
          </w:tcPr>
          <w:p>
            <w:r>
              <w:rPr>
                <w:color w:val="000000"/>
                <w:sz w:val="18"/>
                <w:szCs w:val="18"/>
              </w:rPr>
              <w:t xml:space="preserve">Directory Integration</w:t>
            </w:r>
          </w:p>
        </w:tc>
        <w:tc>
          <w:tcPr>
            <w:tcW w:type="dxa" w:w="2500"/>
            <w:shd w:fill="F5F5F5" w:val="clear"/>
            <w:tcMar>
              <w:top w:type="dxa" w:w="60"/>
              <w:left w:type="dxa" w:w="100"/>
              <w:bottom w:type="dxa" w:w="60"/>
              <w:right w:type="dxa" w:w="60"/>
            </w:tcMar>
          </w:tcPr>
          <w:p>
            <w:r>
              <w:rPr>
                <w:color w:val="000000"/>
                <w:sz w:val="18"/>
                <w:szCs w:val="18"/>
              </w:rPr>
              <w:t xml:space="preserve">Microsoft Graph API</w:t>
            </w:r>
          </w:p>
        </w:tc>
        <w:tc>
          <w:tcPr>
            <w:tcW w:type="dxa" w:w="5000"/>
            <w:shd w:fill="F5F5F5" w:val="clear"/>
            <w:tcMar>
              <w:top w:type="dxa" w:w="60"/>
              <w:left w:type="dxa" w:w="100"/>
              <w:bottom w:type="dxa" w:w="60"/>
              <w:right w:type="dxa" w:w="60"/>
            </w:tcMar>
          </w:tcPr>
          <w:p>
            <w:r>
              <w:rPr>
                <w:color w:val="000000"/>
                <w:sz w:val="18"/>
                <w:szCs w:val="18"/>
              </w:rPr>
              <w:t xml:space="preserve">User profile, groups, manager enrichment</w:t>
            </w:r>
          </w:p>
        </w:tc>
      </w:tr>
      <w:tr>
        <w:tc>
          <w:tcPr>
            <w:tcW w:type="dxa" w:w="2000"/>
            <w:shd w:fill="FFFFFF" w:val="clear"/>
            <w:tcMar>
              <w:top w:type="dxa" w:w="60"/>
              <w:left w:type="dxa" w:w="100"/>
              <w:bottom w:type="dxa" w:w="60"/>
              <w:right w:type="dxa" w:w="60"/>
            </w:tcMar>
          </w:tcPr>
          <w:p>
            <w:r>
              <w:rPr>
                <w:color w:val="000000"/>
                <w:sz w:val="18"/>
                <w:szCs w:val="18"/>
              </w:rPr>
              <w:t xml:space="preserve">ORM / Data Access</w:t>
            </w:r>
          </w:p>
        </w:tc>
        <w:tc>
          <w:tcPr>
            <w:tcW w:type="dxa" w:w="2500"/>
            <w:shd w:fill="FFFFFF" w:val="clear"/>
            <w:tcMar>
              <w:top w:type="dxa" w:w="60"/>
              <w:left w:type="dxa" w:w="100"/>
              <w:bottom w:type="dxa" w:w="60"/>
              <w:right w:type="dxa" w:w="60"/>
            </w:tcMar>
          </w:tcPr>
          <w:p>
            <w:r>
              <w:rPr>
                <w:color w:val="000000"/>
                <w:sz w:val="18"/>
                <w:szCs w:val="18"/>
              </w:rPr>
              <w:t xml:space="preserve">Dapper + raw parameterised SQL</w:t>
            </w:r>
          </w:p>
        </w:tc>
        <w:tc>
          <w:tcPr>
            <w:tcW w:type="dxa" w:w="5000"/>
            <w:shd w:fill="FFFFFF" w:val="clear"/>
            <w:tcMar>
              <w:top w:type="dxa" w:w="60"/>
              <w:left w:type="dxa" w:w="100"/>
              <w:bottom w:type="dxa" w:w="60"/>
              <w:right w:type="dxa" w:w="60"/>
            </w:tcMar>
          </w:tcPr>
          <w:p>
            <w:r>
              <w:rPr>
                <w:color w:val="000000"/>
                <w:sz w:val="18"/>
                <w:szCs w:val="18"/>
              </w:rPr>
              <w:t xml:space="preserve">High-performance; no EF Core overhead</w:t>
            </w:r>
          </w:p>
        </w:tc>
      </w:tr>
      <w:tr>
        <w:tc>
          <w:tcPr>
            <w:tcW w:type="dxa" w:w="2000"/>
            <w:shd w:fill="F5F5F5" w:val="clear"/>
            <w:tcMar>
              <w:top w:type="dxa" w:w="60"/>
              <w:left w:type="dxa" w:w="100"/>
              <w:bottom w:type="dxa" w:w="60"/>
              <w:right w:type="dxa" w:w="60"/>
            </w:tcMar>
          </w:tcPr>
          <w:p>
            <w:r>
              <w:rPr>
                <w:color w:val="000000"/>
                <w:sz w:val="18"/>
                <w:szCs w:val="18"/>
              </w:rPr>
              <w:t xml:space="preserve">Database</w:t>
            </w:r>
          </w:p>
        </w:tc>
        <w:tc>
          <w:tcPr>
            <w:tcW w:type="dxa" w:w="2500"/>
            <w:shd w:fill="F5F5F5" w:val="clear"/>
            <w:tcMar>
              <w:top w:type="dxa" w:w="60"/>
              <w:left w:type="dxa" w:w="100"/>
              <w:bottom w:type="dxa" w:w="60"/>
              <w:right w:type="dxa" w:w="60"/>
            </w:tcMar>
          </w:tcPr>
          <w:p>
            <w:r>
              <w:rPr>
                <w:color w:val="000000"/>
                <w:sz w:val="18"/>
                <w:szCs w:val="18"/>
              </w:rPr>
              <w:t xml:space="preserve">Azure SQL (MS SQL Server)</w:t>
            </w:r>
          </w:p>
        </w:tc>
        <w:tc>
          <w:tcPr>
            <w:tcW w:type="dxa" w:w="5000"/>
            <w:shd w:fill="F5F5F5" w:val="clear"/>
            <w:tcMar>
              <w:top w:type="dxa" w:w="60"/>
              <w:left w:type="dxa" w:w="100"/>
              <w:bottom w:type="dxa" w:w="60"/>
              <w:right w:type="dxa" w:w="60"/>
            </w:tcMar>
          </w:tcPr>
          <w:p>
            <w:r>
              <w:rPr>
                <w:color w:val="000000"/>
                <w:sz w:val="18"/>
                <w:szCs w:val="18"/>
              </w:rPr>
              <w:t xml:space="preserve">Schema [IMT]; per-environment instances</w:t>
            </w:r>
          </w:p>
        </w:tc>
      </w:tr>
      <w:tr>
        <w:tc>
          <w:tcPr>
            <w:tcW w:type="dxa" w:w="2000"/>
            <w:shd w:fill="FFFFFF" w:val="clear"/>
            <w:tcMar>
              <w:top w:type="dxa" w:w="60"/>
              <w:left w:type="dxa" w:w="100"/>
              <w:bottom w:type="dxa" w:w="60"/>
              <w:right w:type="dxa" w:w="60"/>
            </w:tcMar>
          </w:tcPr>
          <w:p>
            <w:r>
              <w:rPr>
                <w:color w:val="000000"/>
                <w:sz w:val="18"/>
                <w:szCs w:val="18"/>
              </w:rPr>
              <w:t xml:space="preserve">Secret Management</w:t>
            </w:r>
          </w:p>
        </w:tc>
        <w:tc>
          <w:tcPr>
            <w:tcW w:type="dxa" w:w="2500"/>
            <w:shd w:fill="FFFFFF" w:val="clear"/>
            <w:tcMar>
              <w:top w:type="dxa" w:w="60"/>
              <w:left w:type="dxa" w:w="100"/>
              <w:bottom w:type="dxa" w:w="60"/>
              <w:right w:type="dxa" w:w="60"/>
            </w:tcMar>
          </w:tcPr>
          <w:p>
            <w:r>
              <w:rPr>
                <w:color w:val="000000"/>
                <w:sz w:val="18"/>
                <w:szCs w:val="18"/>
              </w:rPr>
              <w:t xml:space="preserve">Azure Key Vault + Managed Identity</w:t>
            </w:r>
          </w:p>
        </w:tc>
        <w:tc>
          <w:tcPr>
            <w:tcW w:type="dxa" w:w="5000"/>
            <w:shd w:fill="FFFFFF" w:val="clear"/>
            <w:tcMar>
              <w:top w:type="dxa" w:w="60"/>
              <w:left w:type="dxa" w:w="100"/>
              <w:bottom w:type="dxa" w:w="60"/>
              <w:right w:type="dxa" w:w="60"/>
            </w:tcMar>
          </w:tcPr>
          <w:p>
            <w:r>
              <w:rPr>
                <w:color w:val="000000"/>
                <w:sz w:val="18"/>
                <w:szCs w:val="18"/>
              </w:rPr>
              <w:t xml:space="preserve">System-assigned MI; no secrets in code</w:t>
            </w:r>
          </w:p>
        </w:tc>
      </w:tr>
      <w:tr>
        <w:tc>
          <w:tcPr>
            <w:tcW w:type="dxa" w:w="2000"/>
            <w:shd w:fill="F5F5F5" w:val="clear"/>
            <w:tcMar>
              <w:top w:type="dxa" w:w="60"/>
              <w:left w:type="dxa" w:w="100"/>
              <w:bottom w:type="dxa" w:w="60"/>
              <w:right w:type="dxa" w:w="60"/>
            </w:tcMar>
          </w:tcPr>
          <w:p>
            <w:r>
              <w:rPr>
                <w:color w:val="000000"/>
                <w:sz w:val="18"/>
                <w:szCs w:val="18"/>
              </w:rPr>
              <w:t xml:space="preserve">Hosting</w:t>
            </w:r>
          </w:p>
        </w:tc>
        <w:tc>
          <w:tcPr>
            <w:tcW w:type="dxa" w:w="2500"/>
            <w:shd w:fill="F5F5F5" w:val="clear"/>
            <w:tcMar>
              <w:top w:type="dxa" w:w="60"/>
              <w:left w:type="dxa" w:w="100"/>
              <w:bottom w:type="dxa" w:w="60"/>
              <w:right w:type="dxa" w:w="60"/>
            </w:tcMar>
          </w:tcPr>
          <w:p>
            <w:r>
              <w:rPr>
                <w:color w:val="000000"/>
                <w:sz w:val="18"/>
                <w:szCs w:val="18"/>
              </w:rPr>
              <w:t xml:space="preserve">Azure App Service (Linux Containers)</w:t>
            </w:r>
          </w:p>
        </w:tc>
        <w:tc>
          <w:tcPr>
            <w:tcW w:type="dxa" w:w="5000"/>
            <w:shd w:fill="F5F5F5" w:val="clear"/>
            <w:tcMar>
              <w:top w:type="dxa" w:w="60"/>
              <w:left w:type="dxa" w:w="100"/>
              <w:bottom w:type="dxa" w:w="60"/>
              <w:right w:type="dxa" w:w="60"/>
            </w:tcMar>
          </w:tcPr>
          <w:p>
            <w:r>
              <w:rPr>
                <w:color w:val="000000"/>
                <w:sz w:val="18"/>
                <w:szCs w:val="18"/>
              </w:rPr>
              <w:t xml:space="preserve">Deployment slots per environment</w:t>
            </w:r>
          </w:p>
        </w:tc>
      </w:tr>
      <w:tr>
        <w:tc>
          <w:tcPr>
            <w:tcW w:type="dxa" w:w="2000"/>
            <w:shd w:fill="FFFFFF" w:val="clear"/>
            <w:tcMar>
              <w:top w:type="dxa" w:w="60"/>
              <w:left w:type="dxa" w:w="100"/>
              <w:bottom w:type="dxa" w:w="60"/>
              <w:right w:type="dxa" w:w="60"/>
            </w:tcMar>
          </w:tcPr>
          <w:p>
            <w:r>
              <w:rPr>
                <w:color w:val="000000"/>
                <w:sz w:val="18"/>
                <w:szCs w:val="18"/>
              </w:rPr>
              <w:t xml:space="preserve">Caching</w:t>
            </w:r>
          </w:p>
        </w:tc>
        <w:tc>
          <w:tcPr>
            <w:tcW w:type="dxa" w:w="2500"/>
            <w:shd w:fill="FFFFFF" w:val="clear"/>
            <w:tcMar>
              <w:top w:type="dxa" w:w="60"/>
              <w:left w:type="dxa" w:w="100"/>
              <w:bottom w:type="dxa" w:w="60"/>
              <w:right w:type="dxa" w:w="60"/>
            </w:tcMar>
          </w:tcPr>
          <w:p>
            <w:r>
              <w:rPr>
                <w:color w:val="000000"/>
                <w:sz w:val="18"/>
                <w:szCs w:val="18"/>
              </w:rPr>
              <w:t xml:space="preserve">IMemoryCache (UI) + IDistributedCache (API)</w:t>
            </w:r>
          </w:p>
        </w:tc>
        <w:tc>
          <w:tcPr>
            <w:tcW w:type="dxa" w:w="5000"/>
            <w:shd w:fill="FFFFFF" w:val="clear"/>
            <w:tcMar>
              <w:top w:type="dxa" w:w="60"/>
              <w:left w:type="dxa" w:w="100"/>
              <w:bottom w:type="dxa" w:w="60"/>
              <w:right w:type="dxa" w:w="60"/>
            </w:tcMar>
          </w:tcPr>
          <w:p>
            <w:r>
              <w:rPr>
                <w:color w:val="000000"/>
                <w:sz w:val="18"/>
                <w:szCs w:val="18"/>
              </w:rPr>
              <w:t xml:space="preserve">Redis recommended for multi-instance prod</w:t>
            </w:r>
          </w:p>
        </w:tc>
      </w:tr>
      <w:tr>
        <w:tc>
          <w:tcPr>
            <w:tcW w:type="dxa" w:w="2000"/>
            <w:shd w:fill="F5F5F5" w:val="clear"/>
            <w:tcMar>
              <w:top w:type="dxa" w:w="60"/>
              <w:left w:type="dxa" w:w="100"/>
              <w:bottom w:type="dxa" w:w="60"/>
              <w:right w:type="dxa" w:w="60"/>
            </w:tcMar>
          </w:tcPr>
          <w:p>
            <w:r>
              <w:rPr>
                <w:color w:val="000000"/>
                <w:sz w:val="18"/>
                <w:szCs w:val="18"/>
              </w:rPr>
              <w:t xml:space="preserve">Logging</w:t>
            </w:r>
          </w:p>
        </w:tc>
        <w:tc>
          <w:tcPr>
            <w:tcW w:type="dxa" w:w="2500"/>
            <w:shd w:fill="F5F5F5" w:val="clear"/>
            <w:tcMar>
              <w:top w:type="dxa" w:w="60"/>
              <w:left w:type="dxa" w:w="100"/>
              <w:bottom w:type="dxa" w:w="60"/>
              <w:right w:type="dxa" w:w="60"/>
            </w:tcMar>
          </w:tcPr>
          <w:p>
            <w:r>
              <w:rPr>
                <w:color w:val="000000"/>
                <w:sz w:val="18"/>
                <w:szCs w:val="18"/>
              </w:rPr>
              <w:t xml:space="preserve">NLog</w:t>
            </w:r>
          </w:p>
        </w:tc>
        <w:tc>
          <w:tcPr>
            <w:tcW w:type="dxa" w:w="5000"/>
            <w:shd w:fill="F5F5F5" w:val="clear"/>
            <w:tcMar>
              <w:top w:type="dxa" w:w="60"/>
              <w:left w:type="dxa" w:w="100"/>
              <w:bottom w:type="dxa" w:w="60"/>
              <w:right w:type="dxa" w:w="60"/>
            </w:tcMar>
          </w:tcPr>
          <w:p>
            <w:r>
              <w:rPr>
                <w:color w:val="000000"/>
                <w:sz w:val="18"/>
                <w:szCs w:val="18"/>
              </w:rPr>
              <w:t xml:space="preserve">Structured log sinks; Application Insights integration</w:t>
            </w:r>
          </w:p>
        </w:tc>
      </w:tr>
      <w:tr>
        <w:tc>
          <w:tcPr>
            <w:tcW w:type="dxa" w:w="2000"/>
            <w:shd w:fill="FFFFFF" w:val="clear"/>
            <w:tcMar>
              <w:top w:type="dxa" w:w="60"/>
              <w:left w:type="dxa" w:w="100"/>
              <w:bottom w:type="dxa" w:w="60"/>
              <w:right w:type="dxa" w:w="60"/>
            </w:tcMar>
          </w:tcPr>
          <w:p>
            <w:r>
              <w:rPr>
                <w:color w:val="000000"/>
                <w:sz w:val="18"/>
                <w:szCs w:val="18"/>
              </w:rPr>
              <w:t xml:space="preserve">Architecture Pattern</w:t>
            </w:r>
          </w:p>
        </w:tc>
        <w:tc>
          <w:tcPr>
            <w:tcW w:type="dxa" w:w="2500"/>
            <w:shd w:fill="FFFFFF" w:val="clear"/>
            <w:tcMar>
              <w:top w:type="dxa" w:w="60"/>
              <w:left w:type="dxa" w:w="100"/>
              <w:bottom w:type="dxa" w:w="60"/>
              <w:right w:type="dxa" w:w="60"/>
            </w:tcMar>
          </w:tcPr>
          <w:p>
            <w:r>
              <w:rPr>
                <w:color w:val="000000"/>
                <w:sz w:val="18"/>
                <w:szCs w:val="18"/>
              </w:rPr>
              <w:t xml:space="preserve">Clean Architecture + DDD</w:t>
            </w:r>
          </w:p>
        </w:tc>
        <w:tc>
          <w:tcPr>
            <w:tcW w:type="dxa" w:w="5000"/>
            <w:shd w:fill="FFFFFF" w:val="clear"/>
            <w:tcMar>
              <w:top w:type="dxa" w:w="60"/>
              <w:left w:type="dxa" w:w="100"/>
              <w:bottom w:type="dxa" w:w="60"/>
              <w:right w:type="dxa" w:w="60"/>
            </w:tcMar>
          </w:tcPr>
          <w:p>
            <w:r>
              <w:rPr>
                <w:color w:val="000000"/>
                <w:sz w:val="18"/>
                <w:szCs w:val="18"/>
              </w:rPr>
              <w:t xml:space="preserve">Domain, Application, Infrastructure, Presentation layers</w:t>
            </w:r>
          </w:p>
        </w:tc>
      </w:tr>
    </w:tbl>
    <w:p>
      <w:r>
        <w:br w:type="page"/>
      </w:r>
    </w:p>
    <w:tbl>
      <w:tblPr>
        <w:tblW w:type="pct" w:w="100%"/>
        <w:tblBorders>
          <w:top w:val="none"/>
          <w:left w:val="none"/>
          <w:bottom w:val="none"/>
          <w:right w:val="none"/>
          <w:insideH w:val="single" w:color="auto" w:sz="4"/>
          <w:insideV w:val="single" w:color="auto" w:sz="4"/>
        </w:tblBorders>
      </w:tblPr>
      <w:tblGrid>
        <w:gridCol w:w="1200"/>
        <w:gridCol w:w="8300"/>
      </w:tblGrid>
      <w:tr>
        <w:tc>
          <w:tcPr>
            <w:tcW w:type="dxa" w:w="1200"/>
            <w:shd w:fill="0D2B5C" w:val="clear"/>
            <w:tcMar>
              <w:top w:type="dxa" w:w="100"/>
              <w:left w:type="dxa" w:w="120"/>
              <w:bottom w:type="dxa" w:w="100"/>
              <w:right w:type="dxa" w:w="60"/>
            </w:tcMar>
            <w:vAlign w:val="center"/>
          </w:tcPr>
          <w:p>
            <w:pPr>
              <w:jc w:val="center"/>
            </w:pPr>
            <w:r>
              <w:rPr>
                <w:rFonts w:ascii="Calibri" w:cs="Calibri" w:eastAsia="Calibri" w:hAnsi="Calibri"/>
                <w:b/>
                <w:bCs/>
                <w:color w:val="FFFFFF"/>
                <w:sz w:val="32"/>
                <w:szCs w:val="32"/>
              </w:rPr>
              <w:t xml:space="preserve">§2</w:t>
            </w:r>
          </w:p>
        </w:tc>
        <w:tc>
          <w:tcPr>
            <w:tcW w:type="dxa" w:w="8300"/>
            <w:shd w:fill="E3EEF9" w:val="clear"/>
            <w:tcMar>
              <w:top w:type="dxa" w:w="80"/>
              <w:left w:type="dxa" w:w="160"/>
              <w:bottom w:type="dxa" w:w="80"/>
              <w:right w:type="dxa" w:w="80"/>
            </w:tcMar>
          </w:tcPr>
          <w:p>
            <w:pPr>
              <w:spacing w:after="40" w:before="0"/>
            </w:pPr>
            <w:r>
              <w:rPr>
                <w:rFonts w:ascii="Calibri" w:cs="Calibri" w:eastAsia="Calibri" w:hAnsi="Calibri"/>
                <w:b/>
                <w:bCs/>
                <w:color w:val="0D2B5C"/>
                <w:sz w:val="26"/>
                <w:szCs w:val="26"/>
              </w:rPr>
              <w:t xml:space="preserve">Executive Summary &amp; Architecture Overview</w:t>
            </w:r>
          </w:p>
          <w:p>
            <w:pPr>
              <w:spacing w:after="0" w:before="0"/>
            </w:pPr>
            <w:r>
              <w:rPr>
                <w:i/>
                <w:iCs/>
                <w:color w:val="006DA3"/>
                <w:sz w:val="18"/>
                <w:szCs w:val="18"/>
              </w:rPr>
              <w:t xml:space="preserve">Business context, objectives, scope, and high-level design</w:t>
            </w:r>
          </w:p>
        </w:tc>
      </w:tr>
    </w:tbl>
    <w:p/>
    <w:p>
      <w:pPr>
        <w:pStyle w:val="Heading2"/>
        <w:spacing w:after="120" w:before="320"/>
      </w:pPr>
      <w:r>
        <w:t xml:space="preserve">2.1  Business Objective</w:t>
      </w:r>
    </w:p>
    <w:p>
      <w:pPr>
        <w:spacing w:after="60" w:before="60"/>
        <w:jc w:val="left"/>
      </w:pPr>
      <w:r>
        <w:rPr>
          <w:b w:val="false"/>
          <w:bCs w:val="false"/>
          <w:i w:val="false"/>
          <w:iCs w:val="false"/>
          <w:color w:val="000000"/>
          <w:sz w:val="20"/>
          <w:szCs w:val="20"/>
        </w:rPr>
        <w:t xml:space="preserve">The Intervention Management Platform (IMP) serves as the mission-critical logging, routing, and audit ledger for pipeline incidents, contamination boundaries, and infrastructure failures across regulated UK water utility operations. Given sector regulatory requirements (Ofwat, DWI), the platform must maintain absolute authentication precision, multi-role security enforcement, and verifiable access histories.</w:t>
      </w:r>
    </w:p>
    <w:p/>
    <w:p>
      <w:pPr>
        <w:spacing w:after="60" w:before="60"/>
        <w:jc w:val="left"/>
      </w:pPr>
      <w:r>
        <w:rPr>
          <w:b w:val="false"/>
          <w:bCs w:val="false"/>
          <w:i w:val="false"/>
          <w:iCs w:val="false"/>
          <w:color w:val="000000"/>
          <w:sz w:val="20"/>
          <w:szCs w:val="20"/>
        </w:rPr>
        <w:t xml:space="preserve">The primary business objective of this IAM integration initiative is to:</w:t>
      </w:r>
    </w:p>
    <w:p>
      <w:pPr>
        <w:pStyle w:val="ListParagraph"/>
        <w:numPr>
          <w:ilvl w:val="0"/>
          <w:numId w:val="1"/>
        </w:numPr>
        <w:spacing w:after="40" w:before="40"/>
        <w:ind w:left="360"/>
      </w:pPr>
      <w:r>
        <w:rPr>
          <w:sz w:val="20"/>
          <w:szCs w:val="20"/>
        </w:rPr>
        <w:t xml:space="preserve">Eliminate username/password credential fatigue and associated helpdesk overhead by enabling seamless Single Sign-On (SSO) through corporate Microsoft Entra ID identities.</w:t>
      </w:r>
    </w:p>
    <w:p>
      <w:pPr>
        <w:pStyle w:val="ListParagraph"/>
        <w:numPr>
          <w:ilvl w:val="0"/>
          <w:numId w:val="1"/>
        </w:numPr>
        <w:spacing w:after="40" w:before="40"/>
        <w:ind w:left="360"/>
      </w:pPr>
      <w:r>
        <w:rPr>
          <w:sz w:val="20"/>
          <w:szCs w:val="20"/>
        </w:rPr>
        <w:t xml:space="preserve">Align authentication with the organisation's existing Microsoft 365 tenant — the same identity users authenticate with on their company laptops and O365 applications.</w:t>
      </w:r>
    </w:p>
    <w:p>
      <w:pPr>
        <w:pStyle w:val="ListParagraph"/>
        <w:numPr>
          <w:ilvl w:val="0"/>
          <w:numId w:val="1"/>
        </w:numPr>
        <w:spacing w:after="40" w:before="40"/>
        <w:ind w:left="360"/>
      </w:pPr>
      <w:r>
        <w:rPr>
          <w:sz w:val="20"/>
          <w:szCs w:val="20"/>
        </w:rPr>
        <w:t xml:space="preserve">Preserve and extend the existing granular database-driven RBAC model (Roles, Permissions) without regression to existing workflows.</w:t>
      </w:r>
    </w:p>
    <w:p>
      <w:pPr>
        <w:pStyle w:val="ListParagraph"/>
        <w:numPr>
          <w:ilvl w:val="0"/>
          <w:numId w:val="1"/>
        </w:numPr>
        <w:spacing w:after="40" w:before="40"/>
        <w:ind w:left="360"/>
      </w:pPr>
      <w:r>
        <w:rPr>
          <w:sz w:val="20"/>
          <w:szCs w:val="20"/>
        </w:rPr>
        <w:t xml:space="preserve">Achieve zero-disruption rollout across five environments using Blue-Green deployment slot strategies.</w:t>
      </w:r>
    </w:p>
    <w:p/>
    <w:p>
      <w:pPr>
        <w:pStyle w:val="Heading2"/>
        <w:spacing w:after="120" w:before="320"/>
      </w:pPr>
      <w:r>
        <w:t xml:space="preserve">2.2  Why Azure Entra ID SSO Was Introduced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2200"/>
        <w:gridCol w:w="7300"/>
      </w:tblGrid>
      <w:tr>
        <w:trPr>
          <w:tblHeader/>
        </w:trPr>
        <w:tc>
          <w:tcPr>
            <w:tcW w:type="dxa" w:w="2200"/>
            <w:shd w:fill="0D2B5C" w:val="clear"/>
            <w:tcMar>
              <w:top w:type="dxa" w:w="60"/>
              <w:left w:type="dxa" w:w="100"/>
              <w:bottom w:type="dxa" w:w="60"/>
              <w:right w:type="dxa" w:w="60"/>
            </w:tcMar>
          </w:tcPr>
          <w:p>
            <w:r>
              <w:rPr>
                <w:b/>
                <w:bCs/>
                <w:color w:val="FFFFFF"/>
                <w:sz w:val="18"/>
                <w:szCs w:val="18"/>
              </w:rPr>
              <w:t xml:space="preserve">Driver</w:t>
            </w:r>
          </w:p>
        </w:tc>
        <w:tc>
          <w:tcPr>
            <w:tcW w:type="dxa" w:w="7300"/>
            <w:shd w:fill="0D2B5C" w:val="clear"/>
            <w:tcMar>
              <w:top w:type="dxa" w:w="60"/>
              <w:left w:type="dxa" w:w="100"/>
              <w:bottom w:type="dxa" w:w="60"/>
              <w:right w:type="dxa" w:w="60"/>
            </w:tcMar>
          </w:tcPr>
          <w:p>
            <w:r>
              <w:rPr>
                <w:b/>
                <w:bCs/>
                <w:color w:val="FFFFFF"/>
                <w:sz w:val="18"/>
                <w:szCs w:val="18"/>
              </w:rPr>
              <w:t xml:space="preserve">Detail</w:t>
            </w:r>
          </w:p>
        </w:tc>
      </w:tr>
      <w:tr>
        <w:tc>
          <w:tcPr>
            <w:tcW w:type="dxa" w:w="2200"/>
            <w:shd w:fill="FFFFFF" w:val="clear"/>
            <w:tcMar>
              <w:top w:type="dxa" w:w="60"/>
              <w:left w:type="dxa" w:w="100"/>
              <w:bottom w:type="dxa" w:w="60"/>
              <w:right w:type="dxa" w:w="60"/>
            </w:tcMar>
          </w:tcPr>
          <w:p>
            <w:r>
              <w:rPr>
                <w:color w:val="000000"/>
                <w:sz w:val="18"/>
                <w:szCs w:val="18"/>
              </w:rPr>
              <w:t xml:space="preserve">Identity Consolidation</w:t>
            </w:r>
          </w:p>
        </w:tc>
        <w:tc>
          <w:tcPr>
            <w:tcW w:type="dxa" w:w="7300"/>
            <w:shd w:fill="FFFFFF" w:val="clear"/>
            <w:tcMar>
              <w:top w:type="dxa" w:w="60"/>
              <w:left w:type="dxa" w:w="100"/>
              <w:bottom w:type="dxa" w:w="60"/>
              <w:right w:type="dxa" w:w="60"/>
            </w:tcMar>
          </w:tcPr>
          <w:p>
            <w:r>
              <w:rPr>
                <w:color w:val="000000"/>
                <w:sz w:val="18"/>
                <w:szCs w:val="18"/>
              </w:rPr>
              <w:t xml:space="preserve">All staff already hold Entra ID identities via O365 licensing. A separate credential store created security risk and duplicate management overhead.</w:t>
            </w:r>
          </w:p>
        </w:tc>
      </w:tr>
      <w:tr>
        <w:tc>
          <w:tcPr>
            <w:tcW w:type="dxa" w:w="2200"/>
            <w:shd w:fill="F5F5F5" w:val="clear"/>
            <w:tcMar>
              <w:top w:type="dxa" w:w="60"/>
              <w:left w:type="dxa" w:w="100"/>
              <w:bottom w:type="dxa" w:w="60"/>
              <w:right w:type="dxa" w:w="60"/>
            </w:tcMar>
          </w:tcPr>
          <w:p>
            <w:r>
              <w:rPr>
                <w:color w:val="000000"/>
                <w:sz w:val="18"/>
                <w:szCs w:val="18"/>
              </w:rPr>
              <w:t xml:space="preserve">Regulatory Compliance</w:t>
            </w:r>
          </w:p>
        </w:tc>
        <w:tc>
          <w:tcPr>
            <w:tcW w:type="dxa" w:w="7300"/>
            <w:shd w:fill="F5F5F5" w:val="clear"/>
            <w:tcMar>
              <w:top w:type="dxa" w:w="60"/>
              <w:left w:type="dxa" w:w="100"/>
              <w:bottom w:type="dxa" w:w="60"/>
              <w:right w:type="dxa" w:w="60"/>
            </w:tcMar>
          </w:tcPr>
          <w:p>
            <w:r>
              <w:rPr>
                <w:color w:val="000000"/>
                <w:sz w:val="18"/>
                <w:szCs w:val="18"/>
              </w:rPr>
              <w:t xml:space="preserve">UK water sector compliance frameworks require auditable, centralised identity governance. Entra ID provides conditional access, MFA enforcement, and sign-in audit logs natively.</w:t>
            </w:r>
          </w:p>
        </w:tc>
      </w:tr>
      <w:tr>
        <w:tc>
          <w:tcPr>
            <w:tcW w:type="dxa" w:w="2200"/>
            <w:shd w:fill="FFFFFF" w:val="clear"/>
            <w:tcMar>
              <w:top w:type="dxa" w:w="60"/>
              <w:left w:type="dxa" w:w="100"/>
              <w:bottom w:type="dxa" w:w="60"/>
              <w:right w:type="dxa" w:w="60"/>
            </w:tcMar>
          </w:tcPr>
          <w:p>
            <w:r>
              <w:rPr>
                <w:color w:val="000000"/>
                <w:sz w:val="18"/>
                <w:szCs w:val="18"/>
              </w:rPr>
              <w:t xml:space="preserve">User Experience</w:t>
            </w:r>
          </w:p>
        </w:tc>
        <w:tc>
          <w:tcPr>
            <w:tcW w:type="dxa" w:w="7300"/>
            <w:shd w:fill="FFFFFF" w:val="clear"/>
            <w:tcMar>
              <w:top w:type="dxa" w:w="60"/>
              <w:left w:type="dxa" w:w="100"/>
              <w:bottom w:type="dxa" w:w="60"/>
              <w:right w:type="dxa" w:w="60"/>
            </w:tcMar>
          </w:tcPr>
          <w:p>
            <w:r>
              <w:rPr>
                <w:color w:val="000000"/>
                <w:sz w:val="18"/>
                <w:szCs w:val="18"/>
              </w:rPr>
              <w:t xml:space="preserve">Users opening IMP from a company device or after logging into any O365 application are authenticated transparently — no login screen is presented.</w:t>
            </w:r>
          </w:p>
        </w:tc>
      </w:tr>
      <w:tr>
        <w:tc>
          <w:tcPr>
            <w:tcW w:type="dxa" w:w="2200"/>
            <w:shd w:fill="F5F5F5" w:val="clear"/>
            <w:tcMar>
              <w:top w:type="dxa" w:w="60"/>
              <w:left w:type="dxa" w:w="100"/>
              <w:bottom w:type="dxa" w:w="60"/>
              <w:right w:type="dxa" w:w="60"/>
            </w:tcMar>
          </w:tcPr>
          <w:p>
            <w:r>
              <w:rPr>
                <w:color w:val="000000"/>
                <w:sz w:val="18"/>
                <w:szCs w:val="18"/>
              </w:rPr>
              <w:t xml:space="preserve">Security Posture</w:t>
            </w:r>
          </w:p>
        </w:tc>
        <w:tc>
          <w:tcPr>
            <w:tcW w:type="dxa" w:w="7300"/>
            <w:shd w:fill="F5F5F5" w:val="clear"/>
            <w:tcMar>
              <w:top w:type="dxa" w:w="60"/>
              <w:left w:type="dxa" w:w="100"/>
              <w:bottom w:type="dxa" w:w="60"/>
              <w:right w:type="dxa" w:w="60"/>
            </w:tcMar>
          </w:tcPr>
          <w:p>
            <w:r>
              <w:rPr>
                <w:color w:val="000000"/>
                <w:sz w:val="18"/>
                <w:szCs w:val="18"/>
              </w:rPr>
              <w:t xml:space="preserve">Removing local SQL password hashes eliminates a credential theft attack surface. Tokens are short-lived JWTs signed by Microsoft.</w:t>
            </w:r>
          </w:p>
        </w:tc>
      </w:tr>
      <w:tr>
        <w:tc>
          <w:tcPr>
            <w:tcW w:type="dxa" w:w="2200"/>
            <w:shd w:fill="FFFFFF" w:val="clear"/>
            <w:tcMar>
              <w:top w:type="dxa" w:w="60"/>
              <w:left w:type="dxa" w:w="100"/>
              <w:bottom w:type="dxa" w:w="60"/>
              <w:right w:type="dxa" w:w="60"/>
            </w:tcMar>
          </w:tcPr>
          <w:p>
            <w:r>
              <w:rPr>
                <w:color w:val="000000"/>
                <w:sz w:val="18"/>
                <w:szCs w:val="18"/>
              </w:rPr>
              <w:t xml:space="preserve">Operational Efficiency</w:t>
            </w:r>
          </w:p>
        </w:tc>
        <w:tc>
          <w:tcPr>
            <w:tcW w:type="dxa" w:w="7300"/>
            <w:shd w:fill="FFFFFF" w:val="clear"/>
            <w:tcMar>
              <w:top w:type="dxa" w:w="60"/>
              <w:left w:type="dxa" w:w="100"/>
              <w:bottom w:type="dxa" w:w="60"/>
              <w:right w:type="dxa" w:w="60"/>
            </w:tcMar>
          </w:tcPr>
          <w:p>
            <w:r>
              <w:rPr>
                <w:color w:val="000000"/>
                <w:sz w:val="18"/>
                <w:szCs w:val="18"/>
              </w:rPr>
              <w:t xml:space="preserve">Role assignments managed in Entra ID security groups propagate automatically to IMP through the self-healing sync mechanism, reducing manual DB administration.</w:t>
            </w:r>
          </w:p>
        </w:tc>
      </w:tr>
    </w:tbl>
    <w:p/>
    <w:p>
      <w:pPr>
        <w:pStyle w:val="Heading2"/>
        <w:spacing w:after="120" w:before="320"/>
      </w:pPr>
      <w:r>
        <w:t xml:space="preserve">2.3  Key Benefits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2200"/>
        <w:gridCol w:w="7300"/>
      </w:tblGrid>
      <w:tr>
        <w:trPr>
          <w:tblHeader/>
        </w:trPr>
        <w:tc>
          <w:tcPr>
            <w:tcW w:type="dxa" w:w="2200"/>
            <w:shd w:fill="0D2B5C" w:val="clear"/>
            <w:tcMar>
              <w:top w:type="dxa" w:w="60"/>
              <w:left w:type="dxa" w:w="100"/>
              <w:bottom w:type="dxa" w:w="60"/>
              <w:right w:type="dxa" w:w="60"/>
            </w:tcMar>
          </w:tcPr>
          <w:p>
            <w:r>
              <w:rPr>
                <w:b/>
                <w:bCs/>
                <w:color w:val="FFFFFF"/>
                <w:sz w:val="18"/>
                <w:szCs w:val="18"/>
              </w:rPr>
              <w:t xml:space="preserve">Benefit</w:t>
            </w:r>
          </w:p>
        </w:tc>
        <w:tc>
          <w:tcPr>
            <w:tcW w:type="dxa" w:w="7300"/>
            <w:shd w:fill="0D2B5C" w:val="clear"/>
            <w:tcMar>
              <w:top w:type="dxa" w:w="60"/>
              <w:left w:type="dxa" w:w="100"/>
              <w:bottom w:type="dxa" w:w="60"/>
              <w:right w:type="dxa" w:w="60"/>
            </w:tcMar>
          </w:tcPr>
          <w:p>
            <w:r>
              <w:rPr>
                <w:b/>
                <w:bCs/>
                <w:color w:val="FFFFFF"/>
                <w:sz w:val="18"/>
                <w:szCs w:val="18"/>
              </w:rPr>
              <w:t xml:space="preserve">Description</w:t>
            </w:r>
          </w:p>
        </w:tc>
      </w:tr>
      <w:tr>
        <w:tc>
          <w:tcPr>
            <w:tcW w:type="dxa" w:w="2200"/>
            <w:shd w:fill="FFFFFF" w:val="clear"/>
            <w:tcMar>
              <w:top w:type="dxa" w:w="60"/>
              <w:left w:type="dxa" w:w="100"/>
              <w:bottom w:type="dxa" w:w="60"/>
              <w:right w:type="dxa" w:w="60"/>
            </w:tcMar>
          </w:tcPr>
          <w:p>
            <w:r>
              <w:rPr>
                <w:color w:val="000000"/>
                <w:sz w:val="18"/>
                <w:szCs w:val="18"/>
              </w:rPr>
              <w:t xml:space="preserve">Transparent SSO</w:t>
            </w:r>
          </w:p>
        </w:tc>
        <w:tc>
          <w:tcPr>
            <w:tcW w:type="dxa" w:w="7300"/>
            <w:shd w:fill="FFFFFF" w:val="clear"/>
            <w:tcMar>
              <w:top w:type="dxa" w:w="60"/>
              <w:left w:type="dxa" w:w="100"/>
              <w:bottom w:type="dxa" w:w="60"/>
              <w:right w:type="dxa" w:w="60"/>
            </w:tcMar>
          </w:tcPr>
          <w:p>
            <w:r>
              <w:rPr>
                <w:color w:val="000000"/>
                <w:sz w:val="18"/>
                <w:szCs w:val="18"/>
              </w:rPr>
              <w:t xml:space="preserve">Users on company devices see no login page — they land directly on the dashboard after silent OIDC redirect.</w:t>
            </w:r>
          </w:p>
        </w:tc>
      </w:tr>
      <w:tr>
        <w:tc>
          <w:tcPr>
            <w:tcW w:type="dxa" w:w="2200"/>
            <w:shd w:fill="F5F5F5" w:val="clear"/>
            <w:tcMar>
              <w:top w:type="dxa" w:w="60"/>
              <w:left w:type="dxa" w:w="100"/>
              <w:bottom w:type="dxa" w:w="60"/>
              <w:right w:type="dxa" w:w="60"/>
            </w:tcMar>
          </w:tcPr>
          <w:p>
            <w:r>
              <w:rPr>
                <w:color w:val="000000"/>
                <w:sz w:val="18"/>
                <w:szCs w:val="18"/>
              </w:rPr>
              <w:t xml:space="preserve">Centralised Identity</w:t>
            </w:r>
          </w:p>
        </w:tc>
        <w:tc>
          <w:tcPr>
            <w:tcW w:type="dxa" w:w="7300"/>
            <w:shd w:fill="F5F5F5" w:val="clear"/>
            <w:tcMar>
              <w:top w:type="dxa" w:w="60"/>
              <w:left w:type="dxa" w:w="100"/>
              <w:bottom w:type="dxa" w:w="60"/>
              <w:right w:type="dxa" w:w="60"/>
            </w:tcMar>
          </w:tcPr>
          <w:p>
            <w:r>
              <w:rPr>
                <w:color w:val="000000"/>
                <w:sz w:val="18"/>
                <w:szCs w:val="18"/>
              </w:rPr>
              <w:t xml:space="preserve">Single source of truth for user accounts in Entra ID; IMP DB holds authorisation data only.</w:t>
            </w:r>
          </w:p>
        </w:tc>
      </w:tr>
      <w:tr>
        <w:tc>
          <w:tcPr>
            <w:tcW w:type="dxa" w:w="2200"/>
            <w:shd w:fill="FFFFFF" w:val="clear"/>
            <w:tcMar>
              <w:top w:type="dxa" w:w="60"/>
              <w:left w:type="dxa" w:w="100"/>
              <w:bottom w:type="dxa" w:w="60"/>
              <w:right w:type="dxa" w:w="60"/>
            </w:tcMar>
          </w:tcPr>
          <w:p>
            <w:r>
              <w:rPr>
                <w:color w:val="000000"/>
                <w:sz w:val="18"/>
                <w:szCs w:val="18"/>
              </w:rPr>
              <w:t xml:space="preserve">Self-Healing RBAC</w:t>
            </w:r>
          </w:p>
        </w:tc>
        <w:tc>
          <w:tcPr>
            <w:tcW w:type="dxa" w:w="7300"/>
            <w:shd w:fill="FFFFFF" w:val="clear"/>
            <w:tcMar>
              <w:top w:type="dxa" w:w="60"/>
              <w:left w:type="dxa" w:w="100"/>
              <w:bottom w:type="dxa" w:w="60"/>
              <w:right w:type="dxa" w:w="60"/>
            </w:tcMar>
          </w:tcPr>
          <w:p>
            <w:r>
              <w:rPr>
                <w:color w:val="000000"/>
                <w:sz w:val="18"/>
                <w:szCs w:val="18"/>
              </w:rPr>
              <w:t xml:space="preserve">API detects stale or default role assignments and auto-upgrades them from live Entra group memberships.</w:t>
            </w:r>
          </w:p>
        </w:tc>
      </w:tr>
      <w:tr>
        <w:tc>
          <w:tcPr>
            <w:tcW w:type="dxa" w:w="2200"/>
            <w:shd w:fill="F5F5F5" w:val="clear"/>
            <w:tcMar>
              <w:top w:type="dxa" w:w="60"/>
              <w:left w:type="dxa" w:w="100"/>
              <w:bottom w:type="dxa" w:w="60"/>
              <w:right w:type="dxa" w:w="60"/>
            </w:tcMar>
          </w:tcPr>
          <w:p>
            <w:r>
              <w:rPr>
                <w:color w:val="000000"/>
                <w:sz w:val="18"/>
                <w:szCs w:val="18"/>
              </w:rPr>
              <w:t xml:space="preserve">JIT Provisioning</w:t>
            </w:r>
          </w:p>
        </w:tc>
        <w:tc>
          <w:tcPr>
            <w:tcW w:type="dxa" w:w="7300"/>
            <w:shd w:fill="F5F5F5" w:val="clear"/>
            <w:tcMar>
              <w:top w:type="dxa" w:w="60"/>
              <w:left w:type="dxa" w:w="100"/>
              <w:bottom w:type="dxa" w:w="60"/>
              <w:right w:type="dxa" w:w="60"/>
            </w:tcMar>
          </w:tcPr>
          <w:p>
            <w:r>
              <w:rPr>
                <w:color w:val="000000"/>
                <w:sz w:val="18"/>
                <w:szCs w:val="18"/>
              </w:rPr>
              <w:t xml:space="preserve">New starters who have never logged into IMP are automatically provisioned on first access — no manual DB seeding required.</w:t>
            </w:r>
          </w:p>
        </w:tc>
      </w:tr>
      <w:tr>
        <w:tc>
          <w:tcPr>
            <w:tcW w:type="dxa" w:w="2200"/>
            <w:shd w:fill="FFFFFF" w:val="clear"/>
            <w:tcMar>
              <w:top w:type="dxa" w:w="60"/>
              <w:left w:type="dxa" w:w="100"/>
              <w:bottom w:type="dxa" w:w="60"/>
              <w:right w:type="dxa" w:w="60"/>
            </w:tcMar>
          </w:tcPr>
          <w:p>
            <w:r>
              <w:rPr>
                <w:color w:val="000000"/>
                <w:sz w:val="18"/>
                <w:szCs w:val="18"/>
              </w:rPr>
              <w:t xml:space="preserve">Dual-Auth Fallback</w:t>
            </w:r>
          </w:p>
        </w:tc>
        <w:tc>
          <w:tcPr>
            <w:tcW w:type="dxa" w:w="7300"/>
            <w:shd w:fill="FFFFFF" w:val="clear"/>
            <w:tcMar>
              <w:top w:type="dxa" w:w="60"/>
              <w:left w:type="dxa" w:w="100"/>
              <w:bottom w:type="dxa" w:w="60"/>
              <w:right w:type="dxa" w:w="60"/>
            </w:tcMar>
          </w:tcPr>
          <w:p>
            <w:r>
              <w:rPr>
                <w:color w:val="000000"/>
                <w:sz w:val="18"/>
                <w:szCs w:val="18"/>
              </w:rPr>
              <w:t xml:space="preserve">Feature flag (AuthenticationFeatures:EnableSSO) enables legacy cookie login for local development and emergency break-glass access.</w:t>
            </w:r>
          </w:p>
        </w:tc>
      </w:tr>
      <w:tr>
        <w:tc>
          <w:tcPr>
            <w:tcW w:type="dxa" w:w="2200"/>
            <w:shd w:fill="F5F5F5" w:val="clear"/>
            <w:tcMar>
              <w:top w:type="dxa" w:w="60"/>
              <w:left w:type="dxa" w:w="100"/>
              <w:bottom w:type="dxa" w:w="60"/>
              <w:right w:type="dxa" w:w="60"/>
            </w:tcMar>
          </w:tcPr>
          <w:p>
            <w:r>
              <w:rPr>
                <w:color w:val="000000"/>
                <w:sz w:val="18"/>
                <w:szCs w:val="18"/>
              </w:rPr>
              <w:t xml:space="preserve">Audit Trail</w:t>
            </w:r>
          </w:p>
        </w:tc>
        <w:tc>
          <w:tcPr>
            <w:tcW w:type="dxa" w:w="7300"/>
            <w:shd w:fill="F5F5F5" w:val="clear"/>
            <w:tcMar>
              <w:top w:type="dxa" w:w="60"/>
              <w:left w:type="dxa" w:w="100"/>
              <w:bottom w:type="dxa" w:w="60"/>
              <w:right w:type="dxa" w:w="60"/>
            </w:tcMar>
          </w:tcPr>
          <w:p>
            <w:r>
              <w:rPr>
                <w:color w:val="000000"/>
                <w:sz w:val="18"/>
                <w:szCs w:val="18"/>
              </w:rPr>
              <w:t xml:space="preserve">Every authentication event is logged with OID, email, role assigned, and timestamp. Entra ID provides parallel sign-in logs.</w:t>
            </w:r>
          </w:p>
        </w:tc>
      </w:tr>
      <w:tr>
        <w:tc>
          <w:tcPr>
            <w:tcW w:type="dxa" w:w="2200"/>
            <w:shd w:fill="FFFFFF" w:val="clear"/>
            <w:tcMar>
              <w:top w:type="dxa" w:w="60"/>
              <w:left w:type="dxa" w:w="100"/>
              <w:bottom w:type="dxa" w:w="60"/>
              <w:right w:type="dxa" w:w="60"/>
            </w:tcMar>
          </w:tcPr>
          <w:p>
            <w:r>
              <w:rPr>
                <w:color w:val="000000"/>
                <w:sz w:val="18"/>
                <w:szCs w:val="18"/>
              </w:rPr>
              <w:t xml:space="preserve">Secret-Free Code</w:t>
            </w:r>
          </w:p>
        </w:tc>
        <w:tc>
          <w:tcPr>
            <w:tcW w:type="dxa" w:w="7300"/>
            <w:shd w:fill="FFFFFF" w:val="clear"/>
            <w:tcMar>
              <w:top w:type="dxa" w:w="60"/>
              <w:left w:type="dxa" w:w="100"/>
              <w:bottom w:type="dxa" w:w="60"/>
              <w:right w:type="dxa" w:w="60"/>
            </w:tcMar>
          </w:tcPr>
          <w:p>
            <w:r>
              <w:rPr>
                <w:color w:val="000000"/>
                <w:sz w:val="18"/>
                <w:szCs w:val="18"/>
              </w:rPr>
              <w:t xml:space="preserve">All credentials live in Azure Key Vault; the codebase contains zero secrets.</w:t>
            </w:r>
          </w:p>
        </w:tc>
      </w:tr>
    </w:tbl>
    <w:p/>
    <w:p>
      <w:pPr>
        <w:pStyle w:val="Heading2"/>
        <w:spacing w:after="120" w:before="320"/>
      </w:pPr>
      <w:r>
        <w:t xml:space="preserve">2.4  Scope</w:t>
      </w:r>
    </w:p>
    <w:p>
      <w:pPr>
        <w:pStyle w:val="ListParagraph"/>
        <w:numPr>
          <w:ilvl w:val="0"/>
          <w:numId w:val="1"/>
        </w:numPr>
        <w:spacing w:after="40" w:before="40"/>
        <w:ind w:left="360"/>
      </w:pPr>
      <w:r>
        <w:rPr>
          <w:sz w:val="20"/>
          <w:szCs w:val="20"/>
        </w:rPr>
        <w:t xml:space="preserve">Authentication via Microsoft Entra ID OIDC (OpenID Connect) for all 5 deployment environments.</w:t>
      </w:r>
    </w:p>
    <w:p>
      <w:pPr>
        <w:pStyle w:val="ListParagraph"/>
        <w:numPr>
          <w:ilvl w:val="0"/>
          <w:numId w:val="1"/>
        </w:numPr>
        <w:spacing w:after="40" w:before="40"/>
        <w:ind w:left="360"/>
      </w:pPr>
      <w:r>
        <w:rPr>
          <w:sz w:val="20"/>
          <w:szCs w:val="20"/>
        </w:rPr>
        <w:t xml:space="preserve">Token acquisition (UI → API, UI → Graph API) using MSAL / Microsoft.Identity.Web.</w:t>
      </w:r>
    </w:p>
    <w:p>
      <w:pPr>
        <w:pStyle w:val="ListParagraph"/>
        <w:numPr>
          <w:ilvl w:val="0"/>
          <w:numId w:val="1"/>
        </w:numPr>
        <w:spacing w:after="40" w:before="40"/>
        <w:ind w:left="360"/>
      </w:pPr>
      <w:r>
        <w:rPr>
          <w:sz w:val="20"/>
          <w:szCs w:val="20"/>
        </w:rPr>
        <w:t xml:space="preserve">Microsoft Graph API integration: user profile, security group memberships, manager details.</w:t>
      </w:r>
    </w:p>
    <w:p>
      <w:pPr>
        <w:pStyle w:val="ListParagraph"/>
        <w:numPr>
          <w:ilvl w:val="0"/>
          <w:numId w:val="1"/>
        </w:numPr>
        <w:spacing w:after="40" w:before="40"/>
        <w:ind w:left="360"/>
      </w:pPr>
      <w:r>
        <w:rPr>
          <w:sz w:val="20"/>
          <w:szCs w:val="20"/>
        </w:rPr>
        <w:t xml:space="preserve">JIT user provisioning: automatic DB record creation on first SSO login.</w:t>
      </w:r>
    </w:p>
    <w:p>
      <w:pPr>
        <w:pStyle w:val="ListParagraph"/>
        <w:numPr>
          <w:ilvl w:val="0"/>
          <w:numId w:val="1"/>
        </w:numPr>
        <w:spacing w:after="40" w:before="40"/>
        <w:ind w:left="360"/>
      </w:pPr>
      <w:r>
        <w:rPr>
          <w:sz w:val="20"/>
          <w:szCs w:val="20"/>
        </w:rPr>
        <w:t xml:space="preserve">Self-healing RBAC sync: automatic role elevation when Entra groups are assigned after initial provisioning.</w:t>
      </w:r>
    </w:p>
    <w:p>
      <w:pPr>
        <w:pStyle w:val="ListParagraph"/>
        <w:numPr>
          <w:ilvl w:val="0"/>
          <w:numId w:val="1"/>
        </w:numPr>
        <w:spacing w:after="40" w:before="40"/>
        <w:ind w:left="360"/>
      </w:pPr>
      <w:r>
        <w:rPr>
          <w:sz w:val="20"/>
          <w:szCs w:val="20"/>
        </w:rPr>
        <w:t xml:space="preserve">Database-driven RBAC: Roles, Permissions, UserRoles tables remain authoritative for fine-grained permissions.</w:t>
      </w:r>
    </w:p>
    <w:p>
      <w:pPr>
        <w:pStyle w:val="ListParagraph"/>
        <w:numPr>
          <w:ilvl w:val="0"/>
          <w:numId w:val="1"/>
        </w:numPr>
        <w:spacing w:after="40" w:before="40"/>
        <w:ind w:left="360"/>
      </w:pPr>
      <w:r>
        <w:rPr>
          <w:sz w:val="20"/>
          <w:szCs w:val="20"/>
        </w:rPr>
        <w:t xml:space="preserve">Multi-environment Azure infrastructure: 5 Resource Groups, 5 Key Vaults, 5 SQL databases, App Service deployment slots.</w:t>
      </w:r>
    </w:p>
    <w:p>
      <w:pPr>
        <w:pStyle w:val="ListParagraph"/>
        <w:numPr>
          <w:ilvl w:val="0"/>
          <w:numId w:val="1"/>
        </w:numPr>
        <w:spacing w:after="40" w:before="40"/>
        <w:ind w:left="360"/>
      </w:pPr>
      <w:r>
        <w:rPr>
          <w:sz w:val="20"/>
          <w:szCs w:val="20"/>
        </w:rPr>
        <w:t xml:space="preserve">Zero-downtime Blue-Green deployment with sticky slot configuration.</w:t>
      </w:r>
    </w:p>
    <w:p/>
    <w:p>
      <w:pPr>
        <w:pStyle w:val="Heading2"/>
        <w:spacing w:after="120" w:before="320"/>
      </w:pPr>
      <w:r>
        <w:t xml:space="preserve">2.5  Out of Scope</w:t>
      </w:r>
    </w:p>
    <w:p>
      <w:pPr>
        <w:pStyle w:val="ListParagraph"/>
        <w:numPr>
          <w:ilvl w:val="0"/>
          <w:numId w:val="1"/>
        </w:numPr>
        <w:spacing w:after="40" w:before="40"/>
        <w:ind w:left="360"/>
      </w:pPr>
      <w:r>
        <w:rPr>
          <w:sz w:val="20"/>
          <w:szCs w:val="20"/>
        </w:rPr>
        <w:t xml:space="preserve">Microsoft Entra ID B2C (external customer identities) — IMP serves internal staff only.</w:t>
      </w:r>
    </w:p>
    <w:p>
      <w:pPr>
        <w:pStyle w:val="ListParagraph"/>
        <w:numPr>
          <w:ilvl w:val="0"/>
          <w:numId w:val="1"/>
        </w:numPr>
        <w:spacing w:after="40" w:before="40"/>
        <w:ind w:left="360"/>
      </w:pPr>
      <w:r>
        <w:rPr>
          <w:sz w:val="20"/>
          <w:szCs w:val="20"/>
        </w:rPr>
        <w:t xml:space="preserve">SAML 2.0 federation — OIDC is the chosen protocol.</w:t>
      </w:r>
    </w:p>
    <w:p>
      <w:pPr>
        <w:pStyle w:val="ListParagraph"/>
        <w:numPr>
          <w:ilvl w:val="0"/>
          <w:numId w:val="1"/>
        </w:numPr>
        <w:spacing w:after="40" w:before="40"/>
        <w:ind w:left="360"/>
      </w:pPr>
      <w:r>
        <w:rPr>
          <w:sz w:val="20"/>
          <w:szCs w:val="20"/>
        </w:rPr>
        <w:t xml:space="preserve">Multi-tenant Entra ID configurations — single corporate tenant only.</w:t>
      </w:r>
    </w:p>
    <w:p>
      <w:pPr>
        <w:pStyle w:val="ListParagraph"/>
        <w:numPr>
          <w:ilvl w:val="0"/>
          <w:numId w:val="1"/>
        </w:numPr>
        <w:spacing w:after="40" w:before="40"/>
        <w:ind w:left="360"/>
      </w:pPr>
      <w:r>
        <w:rPr>
          <w:sz w:val="20"/>
          <w:szCs w:val="20"/>
        </w:rPr>
        <w:t xml:space="preserve">Role assignment UI within IMP — role assignment is managed in Entra ID portal by IT administrators.</w:t>
      </w:r>
    </w:p>
    <w:p>
      <w:pPr>
        <w:pStyle w:val="ListParagraph"/>
        <w:numPr>
          <w:ilvl w:val="0"/>
          <w:numId w:val="1"/>
        </w:numPr>
        <w:spacing w:after="40" w:before="40"/>
        <w:ind w:left="360"/>
      </w:pPr>
      <w:r>
        <w:rPr>
          <w:sz w:val="20"/>
          <w:szCs w:val="20"/>
        </w:rPr>
        <w:t xml:space="preserve">Guest / external user access — only corporate directory accounts are in scope.</w:t>
      </w:r>
    </w:p>
    <w:p>
      <w:pPr>
        <w:pStyle w:val="ListParagraph"/>
        <w:numPr>
          <w:ilvl w:val="0"/>
          <w:numId w:val="1"/>
        </w:numPr>
        <w:spacing w:after="40" w:before="40"/>
        <w:ind w:left="360"/>
      </w:pPr>
      <w:r>
        <w:rPr>
          <w:sz w:val="20"/>
          <w:szCs w:val="20"/>
        </w:rPr>
        <w:t xml:space="preserve">Mobile application authentication — IMP is a web-only platform.</w:t>
      </w:r>
    </w:p>
    <w:p>
      <w:r>
        <w:br w:type="page"/>
      </w:r>
    </w:p>
    <w:tbl>
      <w:tblPr>
        <w:tblW w:type="pct" w:w="100%"/>
        <w:tblBorders>
          <w:top w:val="none"/>
          <w:left w:val="none"/>
          <w:bottom w:val="none"/>
          <w:right w:val="none"/>
          <w:insideH w:val="single" w:color="auto" w:sz="4"/>
          <w:insideV w:val="single" w:color="auto" w:sz="4"/>
        </w:tblBorders>
      </w:tblPr>
      <w:tblGrid>
        <w:gridCol w:w="1200"/>
        <w:gridCol w:w="8300"/>
      </w:tblGrid>
      <w:tr>
        <w:tc>
          <w:tcPr>
            <w:tcW w:type="dxa" w:w="1200"/>
            <w:shd w:fill="0D2B5C" w:val="clear"/>
            <w:tcMar>
              <w:top w:type="dxa" w:w="100"/>
              <w:left w:type="dxa" w:w="120"/>
              <w:bottom w:type="dxa" w:w="100"/>
              <w:right w:type="dxa" w:w="60"/>
            </w:tcMar>
            <w:vAlign w:val="center"/>
          </w:tcPr>
          <w:p>
            <w:pPr>
              <w:jc w:val="center"/>
            </w:pPr>
            <w:r>
              <w:rPr>
                <w:rFonts w:ascii="Calibri" w:cs="Calibri" w:eastAsia="Calibri" w:hAnsi="Calibri"/>
                <w:b/>
                <w:bCs/>
                <w:color w:val="FFFFFF"/>
                <w:sz w:val="32"/>
                <w:szCs w:val="32"/>
              </w:rPr>
              <w:t xml:space="preserve">§3</w:t>
            </w:r>
          </w:p>
        </w:tc>
        <w:tc>
          <w:tcPr>
            <w:tcW w:type="dxa" w:w="8300"/>
            <w:shd w:fill="E3EEF9" w:val="clear"/>
            <w:tcMar>
              <w:top w:type="dxa" w:w="80"/>
              <w:left w:type="dxa" w:w="160"/>
              <w:bottom w:type="dxa" w:w="80"/>
              <w:right w:type="dxa" w:w="80"/>
            </w:tcMar>
          </w:tcPr>
          <w:p>
            <w:pPr>
              <w:spacing w:after="40" w:before="0"/>
            </w:pPr>
            <w:r>
              <w:rPr>
                <w:rFonts w:ascii="Calibri" w:cs="Calibri" w:eastAsia="Calibri" w:hAnsi="Calibri"/>
                <w:b/>
                <w:bCs/>
                <w:color w:val="0D2B5C"/>
                <w:sz w:val="26"/>
                <w:szCs w:val="26"/>
              </w:rPr>
              <w:t xml:space="preserve">Auto-Provisioning Flow</w:t>
            </w:r>
          </w:p>
          <w:p>
            <w:pPr>
              <w:spacing w:after="0" w:before="0"/>
            </w:pPr>
            <w:r>
              <w:rPr>
                <w:i/>
                <w:iCs/>
                <w:color w:val="006DA3"/>
                <w:sz w:val="18"/>
                <w:szCs w:val="18"/>
              </w:rPr>
              <w:t xml:space="preserve">JIT user creation and self-healing role sync on first and subsequent logins</w:t>
            </w:r>
          </w:p>
        </w:tc>
      </w:tr>
    </w:tbl>
    <w:p/>
    <w:p>
      <w:pPr>
        <w:pStyle w:val="Heading2"/>
        <w:spacing w:after="120" w:before="320"/>
      </w:pPr>
      <w:r>
        <w:t xml:space="preserve">3.1  Overview</w:t>
      </w:r>
    </w:p>
    <w:p>
      <w:pPr>
        <w:spacing w:after="60" w:before="60"/>
        <w:jc w:val="left"/>
      </w:pPr>
      <w:r>
        <w:rPr>
          <w:b w:val="false"/>
          <w:bCs w:val="false"/>
          <w:i w:val="false"/>
          <w:iCs w:val="false"/>
          <w:color w:val="000000"/>
          <w:sz w:val="20"/>
          <w:szCs w:val="20"/>
        </w:rPr>
        <w:t xml:space="preserve">Every API request passes through EntraIdRbacClaimsTransformer. This transformer executes two distinct paths based on whether the user exists in the IMP database.</w:t>
      </w:r>
    </w:p>
    <w:p/>
    <w:p>
      <w:pPr>
        <w:pStyle w:val="Heading2"/>
        <w:spacing w:after="120" w:before="320"/>
      </w:pPr>
      <w:r>
        <w:t xml:space="preserve">3.2  Provisioning Decision Flow</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Entra ID authenticates user → issues ID Token + Access Token</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UI: OIDC OnTokenValidated fires</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Graph API call: GET /me/appRoleAssignments</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Extract Entra security group names → normalise typos</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Store in IMemoryCache (key: UI_AppRoles_{oid})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UI → API: HTTP request with Bearer JWT + X-Entra-App-Roles header</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API: EntraIdRbacClaimsTransformer executes</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Extract OID from JWT claim</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Parse X-Entra-App-Roles header → extract role tokens</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DB QUERY: GetDbUserByAzureAdObjectIdAsync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PATH A: User NULL   │    │  PATH B: User Exists, Role = REQUESTER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(New User / JIT)    │    │  but header has higher-priority role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INSERT [IMT].[UM_Users]         DELETE existing UserRoles</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INSERT [IMT].[UM_UserRoles]     INSERT elevated roles from header</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(Default: REQUESTER if no       (Self-healing sync triggered)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header groups present)</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Reload dbUser from DB           Reload dbUser from DB</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GetPermissionCodesByAzureAdObjectIdAsync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 Load all permission codes for active role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Inject claims: userId, ClaimTypes.Role, permission[]</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Set DbRbacTransformed = true (prevent double-execution)</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API controller executes with enriched ClaimsPrincipal</w:t>
      </w:r>
    </w:p>
    <w:p/>
    <w:p>
      <w:pPr>
        <w:pStyle w:val="Heading2"/>
        <w:spacing w:after="120" w:before="320"/>
      </w:pPr>
      <w:r>
        <w:t xml:space="preserve">3.3  Role Priority Matrix (Single-Active-Role Enforcement)</w:t>
      </w:r>
    </w:p>
    <w:p>
      <w:pPr>
        <w:spacing w:after="60" w:before="60"/>
        <w:jc w:val="left"/>
      </w:pPr>
      <w:r>
        <w:rPr>
          <w:b w:val="false"/>
          <w:bCs w:val="false"/>
          <w:i w:val="false"/>
          <w:iCs w:val="false"/>
          <w:color w:val="000000"/>
          <w:sz w:val="20"/>
          <w:szCs w:val="20"/>
        </w:rPr>
        <w:t xml:space="preserve">When a user belongs to multiple Entra security groups, the UI layer resolves to one active operational role using a priority weighting algorithm:</w:t>
      </w:r>
    </w:p>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200"/>
        <w:gridCol w:w="1500"/>
        <w:gridCol w:w="2500"/>
        <w:gridCol w:w="4300"/>
      </w:tblGrid>
      <w:tr>
        <w:trPr>
          <w:tblHeader/>
        </w:trPr>
        <w:tc>
          <w:tcPr>
            <w:tcW w:type="dxa" w:w="1200"/>
            <w:shd w:fill="0D2B5C" w:val="clear"/>
            <w:tcMar>
              <w:top w:type="dxa" w:w="60"/>
              <w:left w:type="dxa" w:w="100"/>
              <w:bottom w:type="dxa" w:w="60"/>
              <w:right w:type="dxa" w:w="60"/>
            </w:tcMar>
          </w:tcPr>
          <w:p>
            <w:r>
              <w:rPr>
                <w:b/>
                <w:bCs/>
                <w:color w:val="FFFFFF"/>
                <w:sz w:val="18"/>
                <w:szCs w:val="18"/>
              </w:rPr>
              <w:t xml:space="preserve">Priority Weight</w:t>
            </w:r>
          </w:p>
        </w:tc>
        <w:tc>
          <w:tcPr>
            <w:tcW w:type="dxa" w:w="1500"/>
            <w:shd w:fill="0D2B5C" w:val="clear"/>
            <w:tcMar>
              <w:top w:type="dxa" w:w="60"/>
              <w:left w:type="dxa" w:w="100"/>
              <w:bottom w:type="dxa" w:w="60"/>
              <w:right w:type="dxa" w:w="60"/>
            </w:tcMar>
          </w:tcPr>
          <w:p>
            <w:r>
              <w:rPr>
                <w:b/>
                <w:bCs/>
                <w:color w:val="FFFFFF"/>
                <w:sz w:val="18"/>
                <w:szCs w:val="18"/>
              </w:rPr>
              <w:t xml:space="preserve">Role</w:t>
            </w:r>
          </w:p>
        </w:tc>
        <w:tc>
          <w:tcPr>
            <w:tcW w:type="dxa" w:w="2500"/>
            <w:shd w:fill="0D2B5C" w:val="clear"/>
            <w:tcMar>
              <w:top w:type="dxa" w:w="60"/>
              <w:left w:type="dxa" w:w="100"/>
              <w:bottom w:type="dxa" w:w="60"/>
              <w:right w:type="dxa" w:w="60"/>
            </w:tcMar>
          </w:tcPr>
          <w:p>
            <w:r>
              <w:rPr>
                <w:b/>
                <w:bCs/>
                <w:color w:val="FFFFFF"/>
                <w:sz w:val="18"/>
                <w:szCs w:val="18"/>
              </w:rPr>
              <w:t xml:space="preserve">Typical User Type</w:t>
            </w:r>
          </w:p>
        </w:tc>
        <w:tc>
          <w:tcPr>
            <w:tcW w:type="dxa" w:w="4300"/>
            <w:shd w:fill="0D2B5C" w:val="clear"/>
            <w:tcMar>
              <w:top w:type="dxa" w:w="60"/>
              <w:left w:type="dxa" w:w="100"/>
              <w:bottom w:type="dxa" w:w="60"/>
              <w:right w:type="dxa" w:w="60"/>
            </w:tcMar>
          </w:tcPr>
          <w:p>
            <w:r>
              <w:rPr>
                <w:b/>
                <w:bCs/>
                <w:color w:val="FFFFFF"/>
                <w:sz w:val="18"/>
                <w:szCs w:val="18"/>
              </w:rPr>
              <w:t xml:space="preserve">Access Level</w:t>
            </w:r>
          </w:p>
        </w:tc>
      </w:tr>
      <w:tr>
        <w:tc>
          <w:tcPr>
            <w:tcW w:type="dxa" w:w="1200"/>
            <w:shd w:fill="FFFFFF" w:val="clear"/>
            <w:tcMar>
              <w:top w:type="dxa" w:w="60"/>
              <w:left w:type="dxa" w:w="100"/>
              <w:bottom w:type="dxa" w:w="60"/>
              <w:right w:type="dxa" w:w="60"/>
            </w:tcMar>
          </w:tcPr>
          <w:p>
            <w:r>
              <w:rPr>
                <w:color w:val="000000"/>
                <w:sz w:val="18"/>
                <w:szCs w:val="18"/>
              </w:rPr>
              <w:t xml:space="preserve">1 (Highest)</w:t>
            </w:r>
          </w:p>
        </w:tc>
        <w:tc>
          <w:tcPr>
            <w:tcW w:type="dxa" w:w="1500"/>
            <w:shd w:fill="FFFFFF" w:val="clear"/>
            <w:tcMar>
              <w:top w:type="dxa" w:w="60"/>
              <w:left w:type="dxa" w:w="100"/>
              <w:bottom w:type="dxa" w:w="60"/>
              <w:right w:type="dxa" w:w="60"/>
            </w:tcMar>
          </w:tcPr>
          <w:p>
            <w:r>
              <w:rPr>
                <w:color w:val="000000"/>
                <w:sz w:val="18"/>
                <w:szCs w:val="18"/>
              </w:rPr>
              <w:t xml:space="preserve">ADMIN</w:t>
            </w:r>
          </w:p>
        </w:tc>
        <w:tc>
          <w:tcPr>
            <w:tcW w:type="dxa" w:w="2500"/>
            <w:shd w:fill="FFFFFF" w:val="clear"/>
            <w:tcMar>
              <w:top w:type="dxa" w:w="60"/>
              <w:left w:type="dxa" w:w="100"/>
              <w:bottom w:type="dxa" w:w="60"/>
              <w:right w:type="dxa" w:w="60"/>
            </w:tcMar>
          </w:tcPr>
          <w:p>
            <w:r>
              <w:rPr>
                <w:color w:val="000000"/>
                <w:sz w:val="18"/>
                <w:szCs w:val="18"/>
              </w:rPr>
              <w:t xml:space="preserve">IT / Platform Administrators</w:t>
            </w:r>
          </w:p>
        </w:tc>
        <w:tc>
          <w:tcPr>
            <w:tcW w:type="dxa" w:w="4300"/>
            <w:shd w:fill="FFFFFF" w:val="clear"/>
            <w:tcMar>
              <w:top w:type="dxa" w:w="60"/>
              <w:left w:type="dxa" w:w="100"/>
              <w:bottom w:type="dxa" w:w="60"/>
              <w:right w:type="dxa" w:w="60"/>
            </w:tcMar>
          </w:tcPr>
          <w:p>
            <w:r>
              <w:rPr>
                <w:color w:val="000000"/>
                <w:sz w:val="18"/>
                <w:szCs w:val="18"/>
              </w:rPr>
              <w:t xml:space="preserve">Full system access including user management</w:t>
            </w:r>
          </w:p>
        </w:tc>
      </w:tr>
      <w:tr>
        <w:tc>
          <w:tcPr>
            <w:tcW w:type="dxa" w:w="1200"/>
            <w:shd w:fill="F5F5F5" w:val="clear"/>
            <w:tcMar>
              <w:top w:type="dxa" w:w="60"/>
              <w:left w:type="dxa" w:w="100"/>
              <w:bottom w:type="dxa" w:w="60"/>
              <w:right w:type="dxa" w:w="60"/>
            </w:tcMar>
          </w:tcPr>
          <w:p>
            <w:r>
              <w:rPr>
                <w:color w:val="000000"/>
                <w:sz w:val="18"/>
                <w:szCs w:val="18"/>
              </w:rPr>
              <w:t xml:space="preserve">2</w:t>
            </w:r>
          </w:p>
        </w:tc>
        <w:tc>
          <w:tcPr>
            <w:tcW w:type="dxa" w:w="1500"/>
            <w:shd w:fill="F5F5F5" w:val="clear"/>
            <w:tcMar>
              <w:top w:type="dxa" w:w="60"/>
              <w:left w:type="dxa" w:w="100"/>
              <w:bottom w:type="dxa" w:w="60"/>
              <w:right w:type="dxa" w:w="60"/>
            </w:tcMar>
          </w:tcPr>
          <w:p>
            <w:r>
              <w:rPr>
                <w:color w:val="000000"/>
                <w:sz w:val="18"/>
                <w:szCs w:val="18"/>
              </w:rPr>
              <w:t xml:space="preserve">APPROVER</w:t>
            </w:r>
          </w:p>
        </w:tc>
        <w:tc>
          <w:tcPr>
            <w:tcW w:type="dxa" w:w="2500"/>
            <w:shd w:fill="F5F5F5" w:val="clear"/>
            <w:tcMar>
              <w:top w:type="dxa" w:w="60"/>
              <w:left w:type="dxa" w:w="100"/>
              <w:bottom w:type="dxa" w:w="60"/>
              <w:right w:type="dxa" w:w="60"/>
            </w:tcMar>
          </w:tcPr>
          <w:p>
            <w:r>
              <w:rPr>
                <w:color w:val="000000"/>
                <w:sz w:val="18"/>
                <w:szCs w:val="18"/>
              </w:rPr>
              <w:t xml:space="preserve">Senior Operations Staff</w:t>
            </w:r>
          </w:p>
        </w:tc>
        <w:tc>
          <w:tcPr>
            <w:tcW w:type="dxa" w:w="4300"/>
            <w:shd w:fill="F5F5F5" w:val="clear"/>
            <w:tcMar>
              <w:top w:type="dxa" w:w="60"/>
              <w:left w:type="dxa" w:w="100"/>
              <w:bottom w:type="dxa" w:w="60"/>
              <w:right w:type="dxa" w:w="60"/>
            </w:tcMar>
          </w:tcPr>
          <w:p>
            <w:r>
              <w:rPr>
                <w:color w:val="000000"/>
                <w:sz w:val="18"/>
                <w:szCs w:val="18"/>
              </w:rPr>
              <w:t xml:space="preserve">Approve interventions, view all records</w:t>
            </w:r>
          </w:p>
        </w:tc>
      </w:tr>
      <w:tr>
        <w:tc>
          <w:tcPr>
            <w:tcW w:type="dxa" w:w="1200"/>
            <w:shd w:fill="FFFFFF" w:val="clear"/>
            <w:tcMar>
              <w:top w:type="dxa" w:w="60"/>
              <w:left w:type="dxa" w:w="100"/>
              <w:bottom w:type="dxa" w:w="60"/>
              <w:right w:type="dxa" w:w="60"/>
            </w:tcMar>
          </w:tcPr>
          <w:p>
            <w:r>
              <w:rPr>
                <w:color w:val="000000"/>
                <w:sz w:val="18"/>
                <w:szCs w:val="18"/>
              </w:rPr>
              <w:t xml:space="preserve">3</w:t>
            </w:r>
          </w:p>
        </w:tc>
        <w:tc>
          <w:tcPr>
            <w:tcW w:type="dxa" w:w="1500"/>
            <w:shd w:fill="FFFFFF" w:val="clear"/>
            <w:tcMar>
              <w:top w:type="dxa" w:w="60"/>
              <w:left w:type="dxa" w:w="100"/>
              <w:bottom w:type="dxa" w:w="60"/>
              <w:right w:type="dxa" w:w="60"/>
            </w:tcMar>
          </w:tcPr>
          <w:p>
            <w:r>
              <w:rPr>
                <w:color w:val="000000"/>
                <w:sz w:val="18"/>
                <w:szCs w:val="18"/>
              </w:rPr>
              <w:t xml:space="preserve">SITEMANAGER</w:t>
            </w:r>
          </w:p>
        </w:tc>
        <w:tc>
          <w:tcPr>
            <w:tcW w:type="dxa" w:w="2500"/>
            <w:shd w:fill="FFFFFF" w:val="clear"/>
            <w:tcMar>
              <w:top w:type="dxa" w:w="60"/>
              <w:left w:type="dxa" w:w="100"/>
              <w:bottom w:type="dxa" w:w="60"/>
              <w:right w:type="dxa" w:w="60"/>
            </w:tcMar>
          </w:tcPr>
          <w:p>
            <w:r>
              <w:rPr>
                <w:color w:val="000000"/>
                <w:sz w:val="18"/>
                <w:szCs w:val="18"/>
              </w:rPr>
              <w:t xml:space="preserve">Site / Area Managers</w:t>
            </w:r>
          </w:p>
        </w:tc>
        <w:tc>
          <w:tcPr>
            <w:tcW w:type="dxa" w:w="4300"/>
            <w:shd w:fill="FFFFFF" w:val="clear"/>
            <w:tcMar>
              <w:top w:type="dxa" w:w="60"/>
              <w:left w:type="dxa" w:w="100"/>
              <w:bottom w:type="dxa" w:w="60"/>
              <w:right w:type="dxa" w:w="60"/>
            </w:tcMar>
          </w:tcPr>
          <w:p>
            <w:r>
              <w:rPr>
                <w:color w:val="000000"/>
                <w:sz w:val="18"/>
                <w:szCs w:val="18"/>
              </w:rPr>
              <w:t xml:space="preserve">Manage site-level interventions</w:t>
            </w:r>
          </w:p>
        </w:tc>
      </w:tr>
      <w:tr>
        <w:tc>
          <w:tcPr>
            <w:tcW w:type="dxa" w:w="1200"/>
            <w:shd w:fill="F5F5F5" w:val="clear"/>
            <w:tcMar>
              <w:top w:type="dxa" w:w="60"/>
              <w:left w:type="dxa" w:w="100"/>
              <w:bottom w:type="dxa" w:w="60"/>
              <w:right w:type="dxa" w:w="60"/>
            </w:tcMar>
          </w:tcPr>
          <w:p>
            <w:r>
              <w:rPr>
                <w:color w:val="000000"/>
                <w:sz w:val="18"/>
                <w:szCs w:val="18"/>
              </w:rPr>
              <w:t xml:space="preserve">4</w:t>
            </w:r>
          </w:p>
        </w:tc>
        <w:tc>
          <w:tcPr>
            <w:tcW w:type="dxa" w:w="1500"/>
            <w:shd w:fill="F5F5F5" w:val="clear"/>
            <w:tcMar>
              <w:top w:type="dxa" w:w="60"/>
              <w:left w:type="dxa" w:w="100"/>
              <w:bottom w:type="dxa" w:w="60"/>
              <w:right w:type="dxa" w:w="60"/>
            </w:tcMar>
          </w:tcPr>
          <w:p>
            <w:r>
              <w:rPr>
                <w:color w:val="000000"/>
                <w:sz w:val="18"/>
                <w:szCs w:val="18"/>
              </w:rPr>
              <w:t xml:space="preserve">REQUESTER</w:t>
            </w:r>
          </w:p>
        </w:tc>
        <w:tc>
          <w:tcPr>
            <w:tcW w:type="dxa" w:w="2500"/>
            <w:shd w:fill="F5F5F5" w:val="clear"/>
            <w:tcMar>
              <w:top w:type="dxa" w:w="60"/>
              <w:left w:type="dxa" w:w="100"/>
              <w:bottom w:type="dxa" w:w="60"/>
              <w:right w:type="dxa" w:w="60"/>
            </w:tcMar>
          </w:tcPr>
          <w:p>
            <w:r>
              <w:rPr>
                <w:color w:val="000000"/>
                <w:sz w:val="18"/>
                <w:szCs w:val="18"/>
              </w:rPr>
              <w:t xml:space="preserve">Field Operatives / Standard Staff</w:t>
            </w:r>
          </w:p>
        </w:tc>
        <w:tc>
          <w:tcPr>
            <w:tcW w:type="dxa" w:w="4300"/>
            <w:shd w:fill="F5F5F5" w:val="clear"/>
            <w:tcMar>
              <w:top w:type="dxa" w:w="60"/>
              <w:left w:type="dxa" w:w="100"/>
              <w:bottom w:type="dxa" w:w="60"/>
              <w:right w:type="dxa" w:w="60"/>
            </w:tcMar>
          </w:tcPr>
          <w:p>
            <w:r>
              <w:rPr>
                <w:color w:val="000000"/>
                <w:sz w:val="18"/>
                <w:szCs w:val="18"/>
              </w:rPr>
              <w:t xml:space="preserve">Create and track own interventions</w:t>
            </w:r>
          </w:p>
        </w:tc>
      </w:tr>
      <w:tr>
        <w:tc>
          <w:tcPr>
            <w:tcW w:type="dxa" w:w="1200"/>
            <w:shd w:fill="FFFFFF" w:val="clear"/>
            <w:tcMar>
              <w:top w:type="dxa" w:w="60"/>
              <w:left w:type="dxa" w:w="100"/>
              <w:bottom w:type="dxa" w:w="60"/>
              <w:right w:type="dxa" w:w="60"/>
            </w:tcMar>
          </w:tcPr>
          <w:p>
            <w:r>
              <w:rPr>
                <w:color w:val="000000"/>
                <w:sz w:val="18"/>
                <w:szCs w:val="18"/>
              </w:rPr>
              <w:t xml:space="preserve">5</w:t>
            </w:r>
          </w:p>
        </w:tc>
        <w:tc>
          <w:tcPr>
            <w:tcW w:type="dxa" w:w="1500"/>
            <w:shd w:fill="FFFFFF" w:val="clear"/>
            <w:tcMar>
              <w:top w:type="dxa" w:w="60"/>
              <w:left w:type="dxa" w:w="100"/>
              <w:bottom w:type="dxa" w:w="60"/>
              <w:right w:type="dxa" w:w="60"/>
            </w:tcMar>
          </w:tcPr>
          <w:p>
            <w:r>
              <w:rPr>
                <w:color w:val="000000"/>
                <w:sz w:val="18"/>
                <w:szCs w:val="18"/>
              </w:rPr>
              <w:t xml:space="preserve">DEVELOPER</w:t>
            </w:r>
          </w:p>
        </w:tc>
        <w:tc>
          <w:tcPr>
            <w:tcW w:type="dxa" w:w="2500"/>
            <w:shd w:fill="FFFFFF" w:val="clear"/>
            <w:tcMar>
              <w:top w:type="dxa" w:w="60"/>
              <w:left w:type="dxa" w:w="100"/>
              <w:bottom w:type="dxa" w:w="60"/>
              <w:right w:type="dxa" w:w="60"/>
            </w:tcMar>
          </w:tcPr>
          <w:p>
            <w:r>
              <w:rPr>
                <w:color w:val="000000"/>
                <w:sz w:val="18"/>
                <w:szCs w:val="18"/>
              </w:rPr>
              <w:t xml:space="preserve">Development Team (Non-prod only)</w:t>
            </w:r>
          </w:p>
        </w:tc>
        <w:tc>
          <w:tcPr>
            <w:tcW w:type="dxa" w:w="4300"/>
            <w:shd w:fill="FFFFFF" w:val="clear"/>
            <w:tcMar>
              <w:top w:type="dxa" w:w="60"/>
              <w:left w:type="dxa" w:w="100"/>
              <w:bottom w:type="dxa" w:w="60"/>
              <w:right w:type="dxa" w:w="60"/>
            </w:tcMar>
          </w:tcPr>
          <w:p>
            <w:r>
              <w:rPr>
                <w:color w:val="000000"/>
                <w:sz w:val="18"/>
                <w:szCs w:val="18"/>
              </w:rPr>
              <w:t xml:space="preserve">Extended diagnostic and debug access</w:t>
            </w:r>
          </w:p>
        </w:tc>
      </w:tr>
      <w:tr>
        <w:tc>
          <w:tcPr>
            <w:tcW w:type="dxa" w:w="1200"/>
            <w:shd w:fill="F5F5F5" w:val="clear"/>
            <w:tcMar>
              <w:top w:type="dxa" w:w="60"/>
              <w:left w:type="dxa" w:w="100"/>
              <w:bottom w:type="dxa" w:w="60"/>
              <w:right w:type="dxa" w:w="60"/>
            </w:tcMar>
          </w:tcPr>
          <w:p>
            <w:r>
              <w:rPr>
                <w:color w:val="000000"/>
                <w:sz w:val="18"/>
                <w:szCs w:val="18"/>
              </w:rPr>
              <w:t xml:space="preserve">99 (Lowest)</w:t>
            </w:r>
          </w:p>
        </w:tc>
        <w:tc>
          <w:tcPr>
            <w:tcW w:type="dxa" w:w="1500"/>
            <w:shd w:fill="F5F5F5" w:val="clear"/>
            <w:tcMar>
              <w:top w:type="dxa" w:w="60"/>
              <w:left w:type="dxa" w:w="100"/>
              <w:bottom w:type="dxa" w:w="60"/>
              <w:right w:type="dxa" w:w="60"/>
            </w:tcMar>
          </w:tcPr>
          <w:p>
            <w:r>
              <w:rPr>
                <w:color w:val="000000"/>
                <w:sz w:val="18"/>
                <w:szCs w:val="18"/>
              </w:rPr>
              <w:t xml:space="preserve">UNKNOWN</w:t>
            </w:r>
          </w:p>
        </w:tc>
        <w:tc>
          <w:tcPr>
            <w:tcW w:type="dxa" w:w="2500"/>
            <w:shd w:fill="F5F5F5" w:val="clear"/>
            <w:tcMar>
              <w:top w:type="dxa" w:w="60"/>
              <w:left w:type="dxa" w:w="100"/>
              <w:bottom w:type="dxa" w:w="60"/>
              <w:right w:type="dxa" w:w="60"/>
            </w:tcMar>
          </w:tcPr>
          <w:p>
            <w:r>
              <w:rPr>
                <w:color w:val="000000"/>
                <w:sz w:val="18"/>
                <w:szCs w:val="18"/>
              </w:rPr>
              <w:t xml:space="preserve">Unrecognised / unmapped groups</w:t>
            </w:r>
          </w:p>
        </w:tc>
        <w:tc>
          <w:tcPr>
            <w:tcW w:type="dxa" w:w="4300"/>
            <w:shd w:fill="F5F5F5" w:val="clear"/>
            <w:tcMar>
              <w:top w:type="dxa" w:w="60"/>
              <w:left w:type="dxa" w:w="100"/>
              <w:bottom w:type="dxa" w:w="60"/>
              <w:right w:type="dxa" w:w="60"/>
            </w:tcMar>
          </w:tcPr>
          <w:p>
            <w:r>
              <w:rPr>
                <w:color w:val="000000"/>
                <w:sz w:val="18"/>
                <w:szCs w:val="18"/>
              </w:rPr>
              <w:t xml:space="preserve">No access — blocked at authorization</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left w:val="single" w:color="E65100" w:sz="16"/>
              <w:bottom w:val="none"/>
              <w:right w:val="none"/>
            </w:tcBorders>
            <w:shd w:fill="FFF3E0" w:val="clear"/>
            <w:tcMar>
              <w:top w:type="dxa" w:w="80"/>
              <w:left w:type="dxa" w:w="140"/>
              <w:bottom w:type="dxa" w:w="80"/>
              <w:right w:type="dxa" w:w="80"/>
            </w:tcMar>
          </w:tcPr>
          <w:p>
            <w:pPr>
              <w:spacing w:after="40" w:before="0"/>
            </w:pPr>
            <w:r>
              <w:rPr>
                <w:b/>
                <w:bCs/>
                <w:color w:val="E65100"/>
                <w:sz w:val="20"/>
                <w:szCs w:val="20"/>
              </w:rPr>
              <w:t xml:space="preserve">Self-Healing Trigger Condition</w:t>
            </w:r>
          </w:p>
          <w:p>
            <w:pPr>
              <w:spacing w:after="0" w:before="0"/>
            </w:pPr>
            <w:r>
              <w:rPr>
                <w:color w:val="424242"/>
                <w:sz w:val="19"/>
                <w:szCs w:val="19"/>
              </w:rPr>
              <w:t xml:space="preserve">Path B fires only when: (1) the user exists in DB, (2) their current DB role is REQUESTER, AND (3) the X-Entra-App-Roles header contains at least one non-REQUESTER role. This prevents unnecessary DB writes on every request while still catching the initial provisioning lag.</w:t>
            </w:r>
          </w:p>
        </w:tc>
      </w:tr>
    </w:tbl>
    <w:p>
      <w:r>
        <w:br w:type="page"/>
      </w:r>
    </w:p>
    <w:tbl>
      <w:tblPr>
        <w:tblW w:type="pct" w:w="100%"/>
        <w:tblBorders>
          <w:top w:val="none"/>
          <w:left w:val="none"/>
          <w:bottom w:val="none"/>
          <w:right w:val="none"/>
          <w:insideH w:val="single" w:color="auto" w:sz="4"/>
          <w:insideV w:val="single" w:color="auto" w:sz="4"/>
        </w:tblBorders>
      </w:tblPr>
      <w:tblGrid>
        <w:gridCol w:w="1200"/>
        <w:gridCol w:w="8300"/>
      </w:tblGrid>
      <w:tr>
        <w:tc>
          <w:tcPr>
            <w:tcW w:type="dxa" w:w="1200"/>
            <w:shd w:fill="0D2B5C" w:val="clear"/>
            <w:tcMar>
              <w:top w:type="dxa" w:w="100"/>
              <w:left w:type="dxa" w:w="120"/>
              <w:bottom w:type="dxa" w:w="100"/>
              <w:right w:type="dxa" w:w="60"/>
            </w:tcMar>
            <w:vAlign w:val="center"/>
          </w:tcPr>
          <w:p>
            <w:pPr>
              <w:jc w:val="center"/>
            </w:pPr>
            <w:r>
              <w:rPr>
                <w:rFonts w:ascii="Calibri" w:cs="Calibri" w:eastAsia="Calibri" w:hAnsi="Calibri"/>
                <w:b/>
                <w:bCs/>
                <w:color w:val="FFFFFF"/>
                <w:sz w:val="32"/>
                <w:szCs w:val="32"/>
              </w:rPr>
              <w:t xml:space="preserve">§4</w:t>
            </w:r>
          </w:p>
        </w:tc>
        <w:tc>
          <w:tcPr>
            <w:tcW w:type="dxa" w:w="8300"/>
            <w:shd w:fill="E3EEF9" w:val="clear"/>
            <w:tcMar>
              <w:top w:type="dxa" w:w="80"/>
              <w:left w:type="dxa" w:w="160"/>
              <w:bottom w:type="dxa" w:w="80"/>
              <w:right w:type="dxa" w:w="80"/>
            </w:tcMar>
          </w:tcPr>
          <w:p>
            <w:pPr>
              <w:spacing w:after="40" w:before="0"/>
            </w:pPr>
            <w:r>
              <w:rPr>
                <w:rFonts w:ascii="Calibri" w:cs="Calibri" w:eastAsia="Calibri" w:hAnsi="Calibri"/>
                <w:b/>
                <w:bCs/>
                <w:color w:val="0D2B5C"/>
                <w:sz w:val="26"/>
                <w:szCs w:val="26"/>
              </w:rPr>
              <w:t xml:space="preserve">Environment Architecture</w:t>
            </w:r>
          </w:p>
          <w:p>
            <w:pPr>
              <w:spacing w:after="0" w:before="0"/>
            </w:pPr>
            <w:r>
              <w:rPr>
                <w:i/>
                <w:iCs/>
                <w:color w:val="006DA3"/>
                <w:sz w:val="18"/>
                <w:szCs w:val="18"/>
              </w:rPr>
              <w:t xml:space="preserve">Resource group topology, infrastructure components, and deployment slot configuration</w:t>
            </w:r>
          </w:p>
        </w:tc>
      </w:tr>
    </w:tbl>
    <w:p/>
    <w:p>
      <w:pPr>
        <w:pStyle w:val="Heading2"/>
        <w:spacing w:after="120" w:before="320"/>
      </w:pPr>
      <w:r>
        <w:t xml:space="preserve">4.1  Resource Group Topology</w:t>
      </w:r>
    </w:p>
    <w:p>
      <w:pPr>
        <w:spacing w:after="60" w:before="60"/>
        <w:jc w:val="left"/>
      </w:pPr>
      <w:r>
        <w:rPr>
          <w:b w:val="false"/>
          <w:bCs w:val="false"/>
          <w:i w:val="false"/>
          <w:iCs w:val="false"/>
          <w:color w:val="000000"/>
          <w:sz w:val="20"/>
          <w:szCs w:val="20"/>
        </w:rPr>
        <w:t xml:space="preserve">Infrastructure is split across two Azure Resource Groups to enforce hard blast-radius boundaries between non-production and production workloads:</w:t>
      </w:r>
    </w:p>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NON-PROD Resource Group  (rg-intervention-nonprod)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App Service Plan (Linux P1v3)</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Slot: DEV  (dev.intervention.com)</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 UI App Service  (intervention-ui-dev)</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 API App Service (intervention-api-dev)</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Slot: UAT  (uat.intervention.com)</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UI App Service  (intervention-ui-uat)</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API App Service (intervention-api-uat)</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Azure SQL Server (sql-intervention-nonprod)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DB: imtdb-dev</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DB: imtdb-uat</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Azure Key Vault</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KV-Dev  (kv-intervention-dev)</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KV-UAT  (kv-intervention-uat)</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PROD Resource Group  (rg-intervention-prod)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App Service Plan (Linux P2v3)</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Slot: STAGING  (staging.intervention.com)  ← Blue-Green staging</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 UI App Service  (intervention-ui-staging)</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 API App Service (intervention-api-staging)</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Slot: PREPROD  (preprod.intervention.com)</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 UI App Service  (intervention-ui-preprod)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 API App Service (intervention-api-preprod)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Slot: PROD  (company.intervention.com)  ← Live traffic</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UI App Service  (intervention-ui-prod)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API App Service (intervention-api-prod)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Azure SQL Server (sql-intervention-prod)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DB: imtdb-staging</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DB: imtdb-preprod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DB: imtdb-prod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Azure Key Vault</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KV-Staging  (kv-intervention-staging)</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KV-PreProd  (kv-intervention-preprod)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KV-Prod     (kv-intervention-prod)</w:t>
      </w:r>
    </w:p>
    <w:p/>
    <w:p>
      <w:pPr>
        <w:pStyle w:val="Heading2"/>
        <w:spacing w:after="120" w:before="320"/>
      </w:pPr>
      <w:r>
        <w:t xml:space="preserve">4.2  Per-Environment Configuration Matrix</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300"/>
        <w:gridCol w:w="2200"/>
        <w:gridCol w:w="2000"/>
        <w:gridCol w:w="1500"/>
        <w:gridCol w:w="1000"/>
        <w:gridCol w:w="1000"/>
      </w:tblGrid>
      <w:tr>
        <w:trPr>
          <w:tblHeader/>
        </w:trPr>
        <w:tc>
          <w:tcPr>
            <w:tcW w:type="dxa" w:w="1300"/>
            <w:shd w:fill="0D2B5C" w:val="clear"/>
            <w:tcMar>
              <w:top w:type="dxa" w:w="60"/>
              <w:left w:type="dxa" w:w="100"/>
              <w:bottom w:type="dxa" w:w="60"/>
              <w:right w:type="dxa" w:w="60"/>
            </w:tcMar>
          </w:tcPr>
          <w:p>
            <w:r>
              <w:rPr>
                <w:b/>
                <w:bCs/>
                <w:color w:val="FFFFFF"/>
                <w:sz w:val="18"/>
                <w:szCs w:val="18"/>
              </w:rPr>
              <w:t xml:space="preserve">Environment</w:t>
            </w:r>
          </w:p>
        </w:tc>
        <w:tc>
          <w:tcPr>
            <w:tcW w:type="dxa" w:w="2200"/>
            <w:shd w:fill="0D2B5C" w:val="clear"/>
            <w:tcMar>
              <w:top w:type="dxa" w:w="60"/>
              <w:left w:type="dxa" w:w="100"/>
              <w:bottom w:type="dxa" w:w="60"/>
              <w:right w:type="dxa" w:w="60"/>
            </w:tcMar>
          </w:tcPr>
          <w:p>
            <w:r>
              <w:rPr>
                <w:b/>
                <w:bCs/>
                <w:color w:val="FFFFFF"/>
                <w:sz w:val="18"/>
                <w:szCs w:val="18"/>
              </w:rPr>
              <w:t xml:space="preserve">URL</w:t>
            </w:r>
          </w:p>
        </w:tc>
        <w:tc>
          <w:tcPr>
            <w:tcW w:type="dxa" w:w="2000"/>
            <w:shd w:fill="0D2B5C" w:val="clear"/>
            <w:tcMar>
              <w:top w:type="dxa" w:w="60"/>
              <w:left w:type="dxa" w:w="100"/>
              <w:bottom w:type="dxa" w:w="60"/>
              <w:right w:type="dxa" w:w="60"/>
            </w:tcMar>
          </w:tcPr>
          <w:p>
            <w:r>
              <w:rPr>
                <w:b/>
                <w:bCs/>
                <w:color w:val="FFFFFF"/>
                <w:sz w:val="18"/>
                <w:szCs w:val="18"/>
              </w:rPr>
              <w:t xml:space="preserve">KV Name</w:t>
            </w:r>
          </w:p>
        </w:tc>
        <w:tc>
          <w:tcPr>
            <w:tcW w:type="dxa" w:w="1500"/>
            <w:shd w:fill="0D2B5C" w:val="clear"/>
            <w:tcMar>
              <w:top w:type="dxa" w:w="60"/>
              <w:left w:type="dxa" w:w="100"/>
              <w:bottom w:type="dxa" w:w="60"/>
              <w:right w:type="dxa" w:w="60"/>
            </w:tcMar>
          </w:tcPr>
          <w:p>
            <w:r>
              <w:rPr>
                <w:b/>
                <w:bCs/>
                <w:color w:val="FFFFFF"/>
                <w:sz w:val="18"/>
                <w:szCs w:val="18"/>
              </w:rPr>
              <w:t xml:space="preserve">SQL DB</w:t>
            </w:r>
          </w:p>
        </w:tc>
        <w:tc>
          <w:tcPr>
            <w:tcW w:type="dxa" w:w="1000"/>
            <w:shd w:fill="0D2B5C" w:val="clear"/>
            <w:tcMar>
              <w:top w:type="dxa" w:w="60"/>
              <w:left w:type="dxa" w:w="100"/>
              <w:bottom w:type="dxa" w:w="60"/>
              <w:right w:type="dxa" w:w="60"/>
            </w:tcMar>
          </w:tcPr>
          <w:p>
            <w:r>
              <w:rPr>
                <w:b/>
                <w:bCs/>
                <w:color w:val="FFFFFF"/>
                <w:sz w:val="18"/>
                <w:szCs w:val="18"/>
              </w:rPr>
              <w:t xml:space="preserve">SSO Enabled</w:t>
            </w:r>
          </w:p>
        </w:tc>
        <w:tc>
          <w:tcPr>
            <w:tcW w:type="dxa" w:w="1000"/>
            <w:shd w:fill="0D2B5C" w:val="clear"/>
            <w:tcMar>
              <w:top w:type="dxa" w:w="60"/>
              <w:left w:type="dxa" w:w="100"/>
              <w:bottom w:type="dxa" w:w="60"/>
              <w:right w:type="dxa" w:w="60"/>
            </w:tcMar>
          </w:tcPr>
          <w:p>
            <w:r>
              <w:rPr>
                <w:b/>
                <w:bCs/>
                <w:color w:val="FFFFFF"/>
                <w:sz w:val="18"/>
                <w:szCs w:val="18"/>
              </w:rPr>
              <w:t xml:space="preserve">Slot Sticky</w:t>
            </w:r>
          </w:p>
        </w:tc>
      </w:tr>
      <w:tr>
        <w:tc>
          <w:tcPr>
            <w:tcW w:type="dxa" w:w="1300"/>
            <w:shd w:fill="FFFFFF" w:val="clear"/>
            <w:tcMar>
              <w:top w:type="dxa" w:w="60"/>
              <w:left w:type="dxa" w:w="100"/>
              <w:bottom w:type="dxa" w:w="60"/>
              <w:right w:type="dxa" w:w="60"/>
            </w:tcMar>
          </w:tcPr>
          <w:p>
            <w:r>
              <w:rPr>
                <w:color w:val="000000"/>
                <w:sz w:val="18"/>
                <w:szCs w:val="18"/>
              </w:rPr>
              <w:t xml:space="preserve">Local (Dev PC)</w:t>
            </w:r>
          </w:p>
        </w:tc>
        <w:tc>
          <w:tcPr>
            <w:tcW w:type="dxa" w:w="2200"/>
            <w:shd w:fill="FFFFFF" w:val="clear"/>
            <w:tcMar>
              <w:top w:type="dxa" w:w="60"/>
              <w:left w:type="dxa" w:w="100"/>
              <w:bottom w:type="dxa" w:w="60"/>
              <w:right w:type="dxa" w:w="60"/>
            </w:tcMar>
          </w:tcPr>
          <w:p>
            <w:r>
              <w:rPr>
                <w:color w:val="000000"/>
                <w:sz w:val="18"/>
                <w:szCs w:val="18"/>
              </w:rPr>
              <w:t xml:space="preserve">https://localhost:5001</w:t>
            </w:r>
          </w:p>
        </w:tc>
        <w:tc>
          <w:tcPr>
            <w:tcW w:type="dxa" w:w="2000"/>
            <w:shd w:fill="FFFFFF" w:val="clear"/>
            <w:tcMar>
              <w:top w:type="dxa" w:w="60"/>
              <w:left w:type="dxa" w:w="100"/>
              <w:bottom w:type="dxa" w:w="60"/>
              <w:right w:type="dxa" w:w="60"/>
            </w:tcMar>
          </w:tcPr>
          <w:p>
            <w:r>
              <w:rPr>
                <w:color w:val="000000"/>
                <w:sz w:val="18"/>
                <w:szCs w:val="18"/>
              </w:rPr>
              <w:t xml:space="preserve">N/A (User Secrets)</w:t>
            </w:r>
          </w:p>
        </w:tc>
        <w:tc>
          <w:tcPr>
            <w:tcW w:type="dxa" w:w="1500"/>
            <w:shd w:fill="FFFFFF" w:val="clear"/>
            <w:tcMar>
              <w:top w:type="dxa" w:w="60"/>
              <w:left w:type="dxa" w:w="100"/>
              <w:bottom w:type="dxa" w:w="60"/>
              <w:right w:type="dxa" w:w="60"/>
            </w:tcMar>
          </w:tcPr>
          <w:p>
            <w:r>
              <w:rPr>
                <w:color w:val="000000"/>
                <w:sz w:val="18"/>
                <w:szCs w:val="18"/>
              </w:rPr>
              <w:t xml:space="preserve">LocalDB / Docker</w:t>
            </w:r>
          </w:p>
        </w:tc>
        <w:tc>
          <w:tcPr>
            <w:tcW w:type="dxa" w:w="1000"/>
            <w:shd w:fill="FFFFFF" w:val="clear"/>
            <w:tcMar>
              <w:top w:type="dxa" w:w="60"/>
              <w:left w:type="dxa" w:w="100"/>
              <w:bottom w:type="dxa" w:w="60"/>
              <w:right w:type="dxa" w:w="60"/>
            </w:tcMar>
          </w:tcPr>
          <w:p>
            <w:r>
              <w:rPr>
                <w:color w:val="000000"/>
                <w:sz w:val="18"/>
                <w:szCs w:val="18"/>
              </w:rPr>
              <w:t xml:space="preserve">false</w:t>
            </w:r>
          </w:p>
        </w:tc>
        <w:tc>
          <w:tcPr>
            <w:tcW w:type="dxa" w:w="1000"/>
            <w:shd w:fill="FFFFFF" w:val="clear"/>
            <w:tcMar>
              <w:top w:type="dxa" w:w="60"/>
              <w:left w:type="dxa" w:w="100"/>
              <w:bottom w:type="dxa" w:w="60"/>
              <w:right w:type="dxa" w:w="60"/>
            </w:tcMar>
          </w:tcPr>
          <w:p>
            <w:r>
              <w:rPr>
                <w:color w:val="000000"/>
                <w:sz w:val="18"/>
                <w:szCs w:val="18"/>
              </w:rPr>
              <w:t xml:space="preserve">N/A</w:t>
            </w:r>
          </w:p>
        </w:tc>
      </w:tr>
      <w:tr>
        <w:tc>
          <w:tcPr>
            <w:tcW w:type="dxa" w:w="1300"/>
            <w:shd w:fill="F5F5F5" w:val="clear"/>
            <w:tcMar>
              <w:top w:type="dxa" w:w="60"/>
              <w:left w:type="dxa" w:w="100"/>
              <w:bottom w:type="dxa" w:w="60"/>
              <w:right w:type="dxa" w:w="60"/>
            </w:tcMar>
          </w:tcPr>
          <w:p>
            <w:r>
              <w:rPr>
                <w:color w:val="000000"/>
                <w:sz w:val="18"/>
                <w:szCs w:val="18"/>
              </w:rPr>
              <w:t xml:space="preserve">DEV</w:t>
            </w:r>
          </w:p>
        </w:tc>
        <w:tc>
          <w:tcPr>
            <w:tcW w:type="dxa" w:w="2200"/>
            <w:shd w:fill="F5F5F5" w:val="clear"/>
            <w:tcMar>
              <w:top w:type="dxa" w:w="60"/>
              <w:left w:type="dxa" w:w="100"/>
              <w:bottom w:type="dxa" w:w="60"/>
              <w:right w:type="dxa" w:w="60"/>
            </w:tcMar>
          </w:tcPr>
          <w:p>
            <w:r>
              <w:rPr>
                <w:color w:val="000000"/>
                <w:sz w:val="18"/>
                <w:szCs w:val="18"/>
              </w:rPr>
              <w:t xml:space="preserve">https://dev.intervention.com</w:t>
            </w:r>
          </w:p>
        </w:tc>
        <w:tc>
          <w:tcPr>
            <w:tcW w:type="dxa" w:w="2000"/>
            <w:shd w:fill="F5F5F5" w:val="clear"/>
            <w:tcMar>
              <w:top w:type="dxa" w:w="60"/>
              <w:left w:type="dxa" w:w="100"/>
              <w:bottom w:type="dxa" w:w="60"/>
              <w:right w:type="dxa" w:w="60"/>
            </w:tcMar>
          </w:tcPr>
          <w:p>
            <w:r>
              <w:rPr>
                <w:color w:val="000000"/>
                <w:sz w:val="18"/>
                <w:szCs w:val="18"/>
              </w:rPr>
              <w:t xml:space="preserve">kv-intervention-dev</w:t>
            </w:r>
          </w:p>
        </w:tc>
        <w:tc>
          <w:tcPr>
            <w:tcW w:type="dxa" w:w="1500"/>
            <w:shd w:fill="F5F5F5" w:val="clear"/>
            <w:tcMar>
              <w:top w:type="dxa" w:w="60"/>
              <w:left w:type="dxa" w:w="100"/>
              <w:bottom w:type="dxa" w:w="60"/>
              <w:right w:type="dxa" w:w="60"/>
            </w:tcMar>
          </w:tcPr>
          <w:p>
            <w:r>
              <w:rPr>
                <w:color w:val="000000"/>
                <w:sz w:val="18"/>
                <w:szCs w:val="18"/>
              </w:rPr>
              <w:t xml:space="preserve">imtdb-dev</w:t>
            </w:r>
          </w:p>
        </w:tc>
        <w:tc>
          <w:tcPr>
            <w:tcW w:type="dxa" w:w="1000"/>
            <w:shd w:fill="F5F5F5" w:val="clear"/>
            <w:tcMar>
              <w:top w:type="dxa" w:w="60"/>
              <w:left w:type="dxa" w:w="100"/>
              <w:bottom w:type="dxa" w:w="60"/>
              <w:right w:type="dxa" w:w="60"/>
            </w:tcMar>
          </w:tcPr>
          <w:p>
            <w:r>
              <w:rPr>
                <w:color w:val="000000"/>
                <w:sz w:val="18"/>
                <w:szCs w:val="18"/>
              </w:rPr>
              <w:t xml:space="preserve">true</w:t>
            </w:r>
          </w:p>
        </w:tc>
        <w:tc>
          <w:tcPr>
            <w:tcW w:type="dxa" w:w="1000"/>
            <w:shd w:fill="F5F5F5" w:val="clear"/>
            <w:tcMar>
              <w:top w:type="dxa" w:w="60"/>
              <w:left w:type="dxa" w:w="100"/>
              <w:bottom w:type="dxa" w:w="60"/>
              <w:right w:type="dxa" w:w="60"/>
            </w:tcMar>
          </w:tcPr>
          <w:p>
            <w:r>
              <w:rPr>
                <w:color w:val="000000"/>
                <w:sz w:val="18"/>
                <w:szCs w:val="18"/>
              </w:rPr>
              <w:t xml:space="preserve">Yes</w:t>
            </w:r>
          </w:p>
        </w:tc>
      </w:tr>
      <w:tr>
        <w:tc>
          <w:tcPr>
            <w:tcW w:type="dxa" w:w="1300"/>
            <w:shd w:fill="FFFFFF" w:val="clear"/>
            <w:tcMar>
              <w:top w:type="dxa" w:w="60"/>
              <w:left w:type="dxa" w:w="100"/>
              <w:bottom w:type="dxa" w:w="60"/>
              <w:right w:type="dxa" w:w="60"/>
            </w:tcMar>
          </w:tcPr>
          <w:p>
            <w:r>
              <w:rPr>
                <w:color w:val="000000"/>
                <w:sz w:val="18"/>
                <w:szCs w:val="18"/>
              </w:rPr>
              <w:t xml:space="preserve">UAT</w:t>
            </w:r>
          </w:p>
        </w:tc>
        <w:tc>
          <w:tcPr>
            <w:tcW w:type="dxa" w:w="2200"/>
            <w:shd w:fill="FFFFFF" w:val="clear"/>
            <w:tcMar>
              <w:top w:type="dxa" w:w="60"/>
              <w:left w:type="dxa" w:w="100"/>
              <w:bottom w:type="dxa" w:w="60"/>
              <w:right w:type="dxa" w:w="60"/>
            </w:tcMar>
          </w:tcPr>
          <w:p>
            <w:r>
              <w:rPr>
                <w:color w:val="000000"/>
                <w:sz w:val="18"/>
                <w:szCs w:val="18"/>
              </w:rPr>
              <w:t xml:space="preserve">https://uat.intervention.com</w:t>
            </w:r>
          </w:p>
        </w:tc>
        <w:tc>
          <w:tcPr>
            <w:tcW w:type="dxa" w:w="2000"/>
            <w:shd w:fill="FFFFFF" w:val="clear"/>
            <w:tcMar>
              <w:top w:type="dxa" w:w="60"/>
              <w:left w:type="dxa" w:w="100"/>
              <w:bottom w:type="dxa" w:w="60"/>
              <w:right w:type="dxa" w:w="60"/>
            </w:tcMar>
          </w:tcPr>
          <w:p>
            <w:r>
              <w:rPr>
                <w:color w:val="000000"/>
                <w:sz w:val="18"/>
                <w:szCs w:val="18"/>
              </w:rPr>
              <w:t xml:space="preserve">kv-intervention-uat</w:t>
            </w:r>
          </w:p>
        </w:tc>
        <w:tc>
          <w:tcPr>
            <w:tcW w:type="dxa" w:w="1500"/>
            <w:shd w:fill="FFFFFF" w:val="clear"/>
            <w:tcMar>
              <w:top w:type="dxa" w:w="60"/>
              <w:left w:type="dxa" w:w="100"/>
              <w:bottom w:type="dxa" w:w="60"/>
              <w:right w:type="dxa" w:w="60"/>
            </w:tcMar>
          </w:tcPr>
          <w:p>
            <w:r>
              <w:rPr>
                <w:color w:val="000000"/>
                <w:sz w:val="18"/>
                <w:szCs w:val="18"/>
              </w:rPr>
              <w:t xml:space="preserve">imtdb-uat</w:t>
            </w:r>
          </w:p>
        </w:tc>
        <w:tc>
          <w:tcPr>
            <w:tcW w:type="dxa" w:w="1000"/>
            <w:shd w:fill="FFFFFF" w:val="clear"/>
            <w:tcMar>
              <w:top w:type="dxa" w:w="60"/>
              <w:left w:type="dxa" w:w="100"/>
              <w:bottom w:type="dxa" w:w="60"/>
              <w:right w:type="dxa" w:w="60"/>
            </w:tcMar>
          </w:tcPr>
          <w:p>
            <w:r>
              <w:rPr>
                <w:color w:val="000000"/>
                <w:sz w:val="18"/>
                <w:szCs w:val="18"/>
              </w:rPr>
              <w:t xml:space="preserve">true</w:t>
            </w:r>
          </w:p>
        </w:tc>
        <w:tc>
          <w:tcPr>
            <w:tcW w:type="dxa" w:w="1000"/>
            <w:shd w:fill="FFFFFF" w:val="clear"/>
            <w:tcMar>
              <w:top w:type="dxa" w:w="60"/>
              <w:left w:type="dxa" w:w="100"/>
              <w:bottom w:type="dxa" w:w="60"/>
              <w:right w:type="dxa" w:w="60"/>
            </w:tcMar>
          </w:tcPr>
          <w:p>
            <w:r>
              <w:rPr>
                <w:color w:val="000000"/>
                <w:sz w:val="18"/>
                <w:szCs w:val="18"/>
              </w:rPr>
              <w:t xml:space="preserve">Yes</w:t>
            </w:r>
          </w:p>
        </w:tc>
      </w:tr>
      <w:tr>
        <w:tc>
          <w:tcPr>
            <w:tcW w:type="dxa" w:w="1300"/>
            <w:shd w:fill="F5F5F5" w:val="clear"/>
            <w:tcMar>
              <w:top w:type="dxa" w:w="60"/>
              <w:left w:type="dxa" w:w="100"/>
              <w:bottom w:type="dxa" w:w="60"/>
              <w:right w:type="dxa" w:w="60"/>
            </w:tcMar>
          </w:tcPr>
          <w:p>
            <w:r>
              <w:rPr>
                <w:color w:val="000000"/>
                <w:sz w:val="18"/>
                <w:szCs w:val="18"/>
              </w:rPr>
              <w:t xml:space="preserve">STAGING</w:t>
            </w:r>
          </w:p>
        </w:tc>
        <w:tc>
          <w:tcPr>
            <w:tcW w:type="dxa" w:w="2200"/>
            <w:shd w:fill="F5F5F5" w:val="clear"/>
            <w:tcMar>
              <w:top w:type="dxa" w:w="60"/>
              <w:left w:type="dxa" w:w="100"/>
              <w:bottom w:type="dxa" w:w="60"/>
              <w:right w:type="dxa" w:w="60"/>
            </w:tcMar>
          </w:tcPr>
          <w:p>
            <w:r>
              <w:rPr>
                <w:color w:val="000000"/>
                <w:sz w:val="18"/>
                <w:szCs w:val="18"/>
              </w:rPr>
              <w:t xml:space="preserve">https://staging.intervention.com</w:t>
            </w:r>
          </w:p>
        </w:tc>
        <w:tc>
          <w:tcPr>
            <w:tcW w:type="dxa" w:w="2000"/>
            <w:shd w:fill="F5F5F5" w:val="clear"/>
            <w:tcMar>
              <w:top w:type="dxa" w:w="60"/>
              <w:left w:type="dxa" w:w="100"/>
              <w:bottom w:type="dxa" w:w="60"/>
              <w:right w:type="dxa" w:w="60"/>
            </w:tcMar>
          </w:tcPr>
          <w:p>
            <w:r>
              <w:rPr>
                <w:color w:val="000000"/>
                <w:sz w:val="18"/>
                <w:szCs w:val="18"/>
              </w:rPr>
              <w:t xml:space="preserve">kv-intervention-staging</w:t>
            </w:r>
          </w:p>
        </w:tc>
        <w:tc>
          <w:tcPr>
            <w:tcW w:type="dxa" w:w="1500"/>
            <w:shd w:fill="F5F5F5" w:val="clear"/>
            <w:tcMar>
              <w:top w:type="dxa" w:w="60"/>
              <w:left w:type="dxa" w:w="100"/>
              <w:bottom w:type="dxa" w:w="60"/>
              <w:right w:type="dxa" w:w="60"/>
            </w:tcMar>
          </w:tcPr>
          <w:p>
            <w:r>
              <w:rPr>
                <w:color w:val="000000"/>
                <w:sz w:val="18"/>
                <w:szCs w:val="18"/>
              </w:rPr>
              <w:t xml:space="preserve">imtdb-staging</w:t>
            </w:r>
          </w:p>
        </w:tc>
        <w:tc>
          <w:tcPr>
            <w:tcW w:type="dxa" w:w="1000"/>
            <w:shd w:fill="F5F5F5" w:val="clear"/>
            <w:tcMar>
              <w:top w:type="dxa" w:w="60"/>
              <w:left w:type="dxa" w:w="100"/>
              <w:bottom w:type="dxa" w:w="60"/>
              <w:right w:type="dxa" w:w="60"/>
            </w:tcMar>
          </w:tcPr>
          <w:p>
            <w:r>
              <w:rPr>
                <w:color w:val="000000"/>
                <w:sz w:val="18"/>
                <w:szCs w:val="18"/>
              </w:rPr>
              <w:t xml:space="preserve">true</w:t>
            </w:r>
          </w:p>
        </w:tc>
        <w:tc>
          <w:tcPr>
            <w:tcW w:type="dxa" w:w="1000"/>
            <w:shd w:fill="F5F5F5" w:val="clear"/>
            <w:tcMar>
              <w:top w:type="dxa" w:w="60"/>
              <w:left w:type="dxa" w:w="100"/>
              <w:bottom w:type="dxa" w:w="60"/>
              <w:right w:type="dxa" w:w="60"/>
            </w:tcMar>
          </w:tcPr>
          <w:p>
            <w:r>
              <w:rPr>
                <w:color w:val="000000"/>
                <w:sz w:val="18"/>
                <w:szCs w:val="18"/>
              </w:rPr>
              <w:t xml:space="preserve">Yes</w:t>
            </w:r>
          </w:p>
        </w:tc>
      </w:tr>
      <w:tr>
        <w:tc>
          <w:tcPr>
            <w:tcW w:type="dxa" w:w="1300"/>
            <w:shd w:fill="FFFFFF" w:val="clear"/>
            <w:tcMar>
              <w:top w:type="dxa" w:w="60"/>
              <w:left w:type="dxa" w:w="100"/>
              <w:bottom w:type="dxa" w:w="60"/>
              <w:right w:type="dxa" w:w="60"/>
            </w:tcMar>
          </w:tcPr>
          <w:p>
            <w:r>
              <w:rPr>
                <w:color w:val="000000"/>
                <w:sz w:val="18"/>
                <w:szCs w:val="18"/>
              </w:rPr>
              <w:t xml:space="preserve">PREPROD</w:t>
            </w:r>
          </w:p>
        </w:tc>
        <w:tc>
          <w:tcPr>
            <w:tcW w:type="dxa" w:w="2200"/>
            <w:shd w:fill="FFFFFF" w:val="clear"/>
            <w:tcMar>
              <w:top w:type="dxa" w:w="60"/>
              <w:left w:type="dxa" w:w="100"/>
              <w:bottom w:type="dxa" w:w="60"/>
              <w:right w:type="dxa" w:w="60"/>
            </w:tcMar>
          </w:tcPr>
          <w:p>
            <w:r>
              <w:rPr>
                <w:color w:val="000000"/>
                <w:sz w:val="18"/>
                <w:szCs w:val="18"/>
              </w:rPr>
              <w:t xml:space="preserve">https://preprod.intervention.com</w:t>
            </w:r>
          </w:p>
        </w:tc>
        <w:tc>
          <w:tcPr>
            <w:tcW w:type="dxa" w:w="2000"/>
            <w:shd w:fill="FFFFFF" w:val="clear"/>
            <w:tcMar>
              <w:top w:type="dxa" w:w="60"/>
              <w:left w:type="dxa" w:w="100"/>
              <w:bottom w:type="dxa" w:w="60"/>
              <w:right w:type="dxa" w:w="60"/>
            </w:tcMar>
          </w:tcPr>
          <w:p>
            <w:r>
              <w:rPr>
                <w:color w:val="000000"/>
                <w:sz w:val="18"/>
                <w:szCs w:val="18"/>
              </w:rPr>
              <w:t xml:space="preserve">kv-intervention-preprod</w:t>
            </w:r>
          </w:p>
        </w:tc>
        <w:tc>
          <w:tcPr>
            <w:tcW w:type="dxa" w:w="1500"/>
            <w:shd w:fill="FFFFFF" w:val="clear"/>
            <w:tcMar>
              <w:top w:type="dxa" w:w="60"/>
              <w:left w:type="dxa" w:w="100"/>
              <w:bottom w:type="dxa" w:w="60"/>
              <w:right w:type="dxa" w:w="60"/>
            </w:tcMar>
          </w:tcPr>
          <w:p>
            <w:r>
              <w:rPr>
                <w:color w:val="000000"/>
                <w:sz w:val="18"/>
                <w:szCs w:val="18"/>
              </w:rPr>
              <w:t xml:space="preserve">imtdb-preprod</w:t>
            </w:r>
          </w:p>
        </w:tc>
        <w:tc>
          <w:tcPr>
            <w:tcW w:type="dxa" w:w="1000"/>
            <w:shd w:fill="FFFFFF" w:val="clear"/>
            <w:tcMar>
              <w:top w:type="dxa" w:w="60"/>
              <w:left w:type="dxa" w:w="100"/>
              <w:bottom w:type="dxa" w:w="60"/>
              <w:right w:type="dxa" w:w="60"/>
            </w:tcMar>
          </w:tcPr>
          <w:p>
            <w:r>
              <w:rPr>
                <w:color w:val="000000"/>
                <w:sz w:val="18"/>
                <w:szCs w:val="18"/>
              </w:rPr>
              <w:t xml:space="preserve">true</w:t>
            </w:r>
          </w:p>
        </w:tc>
        <w:tc>
          <w:tcPr>
            <w:tcW w:type="dxa" w:w="1000"/>
            <w:shd w:fill="FFFFFF" w:val="clear"/>
            <w:tcMar>
              <w:top w:type="dxa" w:w="60"/>
              <w:left w:type="dxa" w:w="100"/>
              <w:bottom w:type="dxa" w:w="60"/>
              <w:right w:type="dxa" w:w="60"/>
            </w:tcMar>
          </w:tcPr>
          <w:p>
            <w:r>
              <w:rPr>
                <w:color w:val="000000"/>
                <w:sz w:val="18"/>
                <w:szCs w:val="18"/>
              </w:rPr>
              <w:t xml:space="preserve">Yes</w:t>
            </w:r>
          </w:p>
        </w:tc>
      </w:tr>
      <w:tr>
        <w:tc>
          <w:tcPr>
            <w:tcW w:type="dxa" w:w="1300"/>
            <w:shd w:fill="F5F5F5" w:val="clear"/>
            <w:tcMar>
              <w:top w:type="dxa" w:w="60"/>
              <w:left w:type="dxa" w:w="100"/>
              <w:bottom w:type="dxa" w:w="60"/>
              <w:right w:type="dxa" w:w="60"/>
            </w:tcMar>
          </w:tcPr>
          <w:p>
            <w:r>
              <w:rPr>
                <w:color w:val="000000"/>
                <w:sz w:val="18"/>
                <w:szCs w:val="18"/>
              </w:rPr>
              <w:t xml:space="preserve">PROD</w:t>
            </w:r>
          </w:p>
        </w:tc>
        <w:tc>
          <w:tcPr>
            <w:tcW w:type="dxa" w:w="2200"/>
            <w:shd w:fill="F5F5F5" w:val="clear"/>
            <w:tcMar>
              <w:top w:type="dxa" w:w="60"/>
              <w:left w:type="dxa" w:w="100"/>
              <w:bottom w:type="dxa" w:w="60"/>
              <w:right w:type="dxa" w:w="60"/>
            </w:tcMar>
          </w:tcPr>
          <w:p>
            <w:r>
              <w:rPr>
                <w:color w:val="000000"/>
                <w:sz w:val="18"/>
                <w:szCs w:val="18"/>
              </w:rPr>
              <w:t xml:space="preserve">https://company.intervention.com</w:t>
            </w:r>
          </w:p>
        </w:tc>
        <w:tc>
          <w:tcPr>
            <w:tcW w:type="dxa" w:w="2000"/>
            <w:shd w:fill="F5F5F5" w:val="clear"/>
            <w:tcMar>
              <w:top w:type="dxa" w:w="60"/>
              <w:left w:type="dxa" w:w="100"/>
              <w:bottom w:type="dxa" w:w="60"/>
              <w:right w:type="dxa" w:w="60"/>
            </w:tcMar>
          </w:tcPr>
          <w:p>
            <w:r>
              <w:rPr>
                <w:color w:val="000000"/>
                <w:sz w:val="18"/>
                <w:szCs w:val="18"/>
              </w:rPr>
              <w:t xml:space="preserve">kv-intervention-prod</w:t>
            </w:r>
          </w:p>
        </w:tc>
        <w:tc>
          <w:tcPr>
            <w:tcW w:type="dxa" w:w="1500"/>
            <w:shd w:fill="F5F5F5" w:val="clear"/>
            <w:tcMar>
              <w:top w:type="dxa" w:w="60"/>
              <w:left w:type="dxa" w:w="100"/>
              <w:bottom w:type="dxa" w:w="60"/>
              <w:right w:type="dxa" w:w="60"/>
            </w:tcMar>
          </w:tcPr>
          <w:p>
            <w:r>
              <w:rPr>
                <w:color w:val="000000"/>
                <w:sz w:val="18"/>
                <w:szCs w:val="18"/>
              </w:rPr>
              <w:t xml:space="preserve">imtdb-prod</w:t>
            </w:r>
          </w:p>
        </w:tc>
        <w:tc>
          <w:tcPr>
            <w:tcW w:type="dxa" w:w="1000"/>
            <w:shd w:fill="F5F5F5" w:val="clear"/>
            <w:tcMar>
              <w:top w:type="dxa" w:w="60"/>
              <w:left w:type="dxa" w:w="100"/>
              <w:bottom w:type="dxa" w:w="60"/>
              <w:right w:type="dxa" w:w="60"/>
            </w:tcMar>
          </w:tcPr>
          <w:p>
            <w:r>
              <w:rPr>
                <w:color w:val="000000"/>
                <w:sz w:val="18"/>
                <w:szCs w:val="18"/>
              </w:rPr>
              <w:t xml:space="preserve">true</w:t>
            </w:r>
          </w:p>
        </w:tc>
        <w:tc>
          <w:tcPr>
            <w:tcW w:type="dxa" w:w="1000"/>
            <w:shd w:fill="F5F5F5" w:val="clear"/>
            <w:tcMar>
              <w:top w:type="dxa" w:w="60"/>
              <w:left w:type="dxa" w:w="100"/>
              <w:bottom w:type="dxa" w:w="60"/>
              <w:right w:type="dxa" w:w="60"/>
            </w:tcMar>
          </w:tcPr>
          <w:p>
            <w:r>
              <w:rPr>
                <w:color w:val="000000"/>
                <w:sz w:val="18"/>
                <w:szCs w:val="18"/>
              </w:rPr>
              <w:t xml:space="preserve">Yes</w:t>
            </w:r>
          </w:p>
        </w:tc>
      </w:tr>
    </w:tbl>
    <w:p/>
    <w:p>
      <w:pPr>
        <w:pStyle w:val="Heading2"/>
        <w:spacing w:after="120" w:before="320"/>
      </w:pPr>
      <w:r>
        <w:t xml:space="preserve">4.3  Deployment Slot Sticky Settings</w:t>
      </w:r>
    </w:p>
    <w:p>
      <w:pPr>
        <w:spacing w:after="60" w:before="60"/>
        <w:jc w:val="left"/>
      </w:pPr>
      <w:r>
        <w:rPr>
          <w:b w:val="false"/>
          <w:bCs w:val="false"/>
          <w:i w:val="false"/>
          <w:iCs w:val="false"/>
          <w:color w:val="000000"/>
          <w:sz w:val="20"/>
          <w:szCs w:val="20"/>
        </w:rPr>
        <w:t xml:space="preserve">Every environment variable that differs between environments is marked as a Sticky Deployment Slot Setting in Azure Portal. This prevents configuration bleed when slots are swapped during Blue-Green deployments.</w:t>
      </w:r>
    </w:p>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3500"/>
        <w:gridCol w:w="3000"/>
        <w:gridCol w:w="1000"/>
      </w:tblGrid>
      <w:tr>
        <w:trPr>
          <w:tblHeader/>
        </w:trPr>
        <w:tc>
          <w:tcPr>
            <w:tcW w:type="dxa" w:w="3500"/>
            <w:shd w:fill="0D2B5C" w:val="clear"/>
            <w:tcMar>
              <w:top w:type="dxa" w:w="60"/>
              <w:left w:type="dxa" w:w="100"/>
              <w:bottom w:type="dxa" w:w="60"/>
              <w:right w:type="dxa" w:w="60"/>
            </w:tcMar>
          </w:tcPr>
          <w:p>
            <w:r>
              <w:rPr>
                <w:b/>
                <w:bCs/>
                <w:color w:val="FFFFFF"/>
                <w:sz w:val="18"/>
                <w:szCs w:val="18"/>
              </w:rPr>
              <w:t xml:space="preserve">App Service Config Key</w:t>
            </w:r>
          </w:p>
        </w:tc>
        <w:tc>
          <w:tcPr>
            <w:tcW w:type="dxa" w:w="3000"/>
            <w:shd w:fill="0D2B5C" w:val="clear"/>
            <w:tcMar>
              <w:top w:type="dxa" w:w="60"/>
              <w:left w:type="dxa" w:w="100"/>
              <w:bottom w:type="dxa" w:w="60"/>
              <w:right w:type="dxa" w:w="60"/>
            </w:tcMar>
          </w:tcPr>
          <w:p>
            <w:r>
              <w:rPr>
                <w:b/>
                <w:bCs/>
                <w:color w:val="FFFFFF"/>
                <w:sz w:val="18"/>
                <w:szCs w:val="18"/>
              </w:rPr>
              <w:t xml:space="preserve">Value</w:t>
            </w:r>
          </w:p>
        </w:tc>
        <w:tc>
          <w:tcPr>
            <w:tcW w:type="dxa" w:w="1000"/>
            <w:shd w:fill="0D2B5C" w:val="clear"/>
            <w:tcMar>
              <w:top w:type="dxa" w:w="60"/>
              <w:left w:type="dxa" w:w="100"/>
              <w:bottom w:type="dxa" w:w="60"/>
              <w:right w:type="dxa" w:w="60"/>
            </w:tcMar>
          </w:tcPr>
          <w:p>
            <w:r>
              <w:rPr>
                <w:b/>
                <w:bCs/>
                <w:color w:val="FFFFFF"/>
                <w:sz w:val="18"/>
                <w:szCs w:val="18"/>
              </w:rPr>
              <w:t xml:space="preserve">Sticky</w:t>
            </w:r>
          </w:p>
        </w:tc>
      </w:tr>
      <w:tr>
        <w:tc>
          <w:tcPr>
            <w:tcW w:type="dxa" w:w="3500"/>
            <w:shd w:fill="FFFFFF" w:val="clear"/>
            <w:tcMar>
              <w:top w:type="dxa" w:w="60"/>
              <w:left w:type="dxa" w:w="100"/>
              <w:bottom w:type="dxa" w:w="60"/>
              <w:right w:type="dxa" w:w="60"/>
            </w:tcMar>
          </w:tcPr>
          <w:p>
            <w:r>
              <w:rPr>
                <w:color w:val="000000"/>
                <w:sz w:val="18"/>
                <w:szCs w:val="18"/>
              </w:rPr>
              <w:t xml:space="preserve">AuthenticationFeatures__EnableSSO</w:t>
            </w:r>
          </w:p>
        </w:tc>
        <w:tc>
          <w:tcPr>
            <w:tcW w:type="dxa" w:w="3000"/>
            <w:shd w:fill="FFFFFF" w:val="clear"/>
            <w:tcMar>
              <w:top w:type="dxa" w:w="60"/>
              <w:left w:type="dxa" w:w="100"/>
              <w:bottom w:type="dxa" w:w="60"/>
              <w:right w:type="dxa" w:w="60"/>
            </w:tcMar>
          </w:tcPr>
          <w:p>
            <w:r>
              <w:rPr>
                <w:color w:val="000000"/>
                <w:sz w:val="18"/>
                <w:szCs w:val="18"/>
              </w:rPr>
              <w:t xml:space="preserve">true / false per env</w:t>
            </w:r>
          </w:p>
        </w:tc>
        <w:tc>
          <w:tcPr>
            <w:tcW w:type="dxa" w:w="1000"/>
            <w:shd w:fill="FFFFFF" w:val="clear"/>
            <w:tcMar>
              <w:top w:type="dxa" w:w="60"/>
              <w:left w:type="dxa" w:w="100"/>
              <w:bottom w:type="dxa" w:w="60"/>
              <w:right w:type="dxa" w:w="60"/>
            </w:tcMar>
          </w:tcPr>
          <w:p>
            <w:r>
              <w:rPr>
                <w:color w:val="000000"/>
                <w:sz w:val="18"/>
                <w:szCs w:val="18"/>
              </w:rPr>
              <w:t xml:space="preserve">Yes</w:t>
            </w:r>
          </w:p>
        </w:tc>
      </w:tr>
      <w:tr>
        <w:tc>
          <w:tcPr>
            <w:tcW w:type="dxa" w:w="3500"/>
            <w:shd w:fill="F5F5F5" w:val="clear"/>
            <w:tcMar>
              <w:top w:type="dxa" w:w="60"/>
              <w:left w:type="dxa" w:w="100"/>
              <w:bottom w:type="dxa" w:w="60"/>
              <w:right w:type="dxa" w:w="60"/>
            </w:tcMar>
          </w:tcPr>
          <w:p>
            <w:r>
              <w:rPr>
                <w:color w:val="000000"/>
                <w:sz w:val="18"/>
                <w:szCs w:val="18"/>
              </w:rPr>
              <w:t xml:space="preserve">AzureAd__TenantId</w:t>
            </w:r>
          </w:p>
        </w:tc>
        <w:tc>
          <w:tcPr>
            <w:tcW w:type="dxa" w:w="3000"/>
            <w:shd w:fill="F5F5F5" w:val="clear"/>
            <w:tcMar>
              <w:top w:type="dxa" w:w="60"/>
              <w:left w:type="dxa" w:w="100"/>
              <w:bottom w:type="dxa" w:w="60"/>
              <w:right w:type="dxa" w:w="60"/>
            </w:tcMar>
          </w:tcPr>
          <w:p>
            <w:r>
              <w:rPr>
                <w:color w:val="000000"/>
                <w:sz w:val="18"/>
                <w:szCs w:val="18"/>
              </w:rPr>
              <w:t xml:space="preserve">YOUR_TENANT_ID</w:t>
            </w:r>
          </w:p>
        </w:tc>
        <w:tc>
          <w:tcPr>
            <w:tcW w:type="dxa" w:w="1000"/>
            <w:shd w:fill="F5F5F5" w:val="clear"/>
            <w:tcMar>
              <w:top w:type="dxa" w:w="60"/>
              <w:left w:type="dxa" w:w="100"/>
              <w:bottom w:type="dxa" w:w="60"/>
              <w:right w:type="dxa" w:w="60"/>
            </w:tcMar>
          </w:tcPr>
          <w:p>
            <w:r>
              <w:rPr>
                <w:color w:val="000000"/>
                <w:sz w:val="18"/>
                <w:szCs w:val="18"/>
              </w:rPr>
              <w:t xml:space="preserve">Yes</w:t>
            </w:r>
          </w:p>
        </w:tc>
      </w:tr>
      <w:tr>
        <w:tc>
          <w:tcPr>
            <w:tcW w:type="dxa" w:w="3500"/>
            <w:shd w:fill="FFFFFF" w:val="clear"/>
            <w:tcMar>
              <w:top w:type="dxa" w:w="60"/>
              <w:left w:type="dxa" w:w="100"/>
              <w:bottom w:type="dxa" w:w="60"/>
              <w:right w:type="dxa" w:w="60"/>
            </w:tcMar>
          </w:tcPr>
          <w:p>
            <w:r>
              <w:rPr>
                <w:color w:val="000000"/>
                <w:sz w:val="18"/>
                <w:szCs w:val="18"/>
              </w:rPr>
              <w:t xml:space="preserve">AzureAd__ClientId</w:t>
            </w:r>
          </w:p>
        </w:tc>
        <w:tc>
          <w:tcPr>
            <w:tcW w:type="dxa" w:w="3000"/>
            <w:shd w:fill="FFFFFF" w:val="clear"/>
            <w:tcMar>
              <w:top w:type="dxa" w:w="60"/>
              <w:left w:type="dxa" w:w="100"/>
              <w:bottom w:type="dxa" w:w="60"/>
              <w:right w:type="dxa" w:w="60"/>
            </w:tcMar>
          </w:tcPr>
          <w:p>
            <w:r>
              <w:rPr>
                <w:color w:val="000000"/>
                <w:sz w:val="18"/>
                <w:szCs w:val="18"/>
              </w:rPr>
              <w:t xml:space="preserve">UI_CLIENT_ID (per env)</w:t>
            </w:r>
          </w:p>
        </w:tc>
        <w:tc>
          <w:tcPr>
            <w:tcW w:type="dxa" w:w="1000"/>
            <w:shd w:fill="FFFFFF" w:val="clear"/>
            <w:tcMar>
              <w:top w:type="dxa" w:w="60"/>
              <w:left w:type="dxa" w:w="100"/>
              <w:bottom w:type="dxa" w:w="60"/>
              <w:right w:type="dxa" w:w="60"/>
            </w:tcMar>
          </w:tcPr>
          <w:p>
            <w:r>
              <w:rPr>
                <w:color w:val="000000"/>
                <w:sz w:val="18"/>
                <w:szCs w:val="18"/>
              </w:rPr>
              <w:t xml:space="preserve">Yes</w:t>
            </w:r>
          </w:p>
        </w:tc>
      </w:tr>
      <w:tr>
        <w:tc>
          <w:tcPr>
            <w:tcW w:type="dxa" w:w="3500"/>
            <w:shd w:fill="F5F5F5" w:val="clear"/>
            <w:tcMar>
              <w:top w:type="dxa" w:w="60"/>
              <w:left w:type="dxa" w:w="100"/>
              <w:bottom w:type="dxa" w:w="60"/>
              <w:right w:type="dxa" w:w="60"/>
            </w:tcMar>
          </w:tcPr>
          <w:p>
            <w:r>
              <w:rPr>
                <w:color w:val="000000"/>
                <w:sz w:val="18"/>
                <w:szCs w:val="18"/>
              </w:rPr>
              <w:t xml:space="preserve">KeyVaultUri</w:t>
            </w:r>
          </w:p>
        </w:tc>
        <w:tc>
          <w:tcPr>
            <w:tcW w:type="dxa" w:w="3000"/>
            <w:shd w:fill="F5F5F5" w:val="clear"/>
            <w:tcMar>
              <w:top w:type="dxa" w:w="60"/>
              <w:left w:type="dxa" w:w="100"/>
              <w:bottom w:type="dxa" w:w="60"/>
              <w:right w:type="dxa" w:w="60"/>
            </w:tcMar>
          </w:tcPr>
          <w:p>
            <w:r>
              <w:rPr>
                <w:color w:val="000000"/>
                <w:sz w:val="18"/>
                <w:szCs w:val="18"/>
              </w:rPr>
              <w:t xml:space="preserve">https://kv-intervention-{env}.vault.azure.net/</w:t>
            </w:r>
          </w:p>
        </w:tc>
        <w:tc>
          <w:tcPr>
            <w:tcW w:type="dxa" w:w="1000"/>
            <w:shd w:fill="F5F5F5" w:val="clear"/>
            <w:tcMar>
              <w:top w:type="dxa" w:w="60"/>
              <w:left w:type="dxa" w:w="100"/>
              <w:bottom w:type="dxa" w:w="60"/>
              <w:right w:type="dxa" w:w="60"/>
            </w:tcMar>
          </w:tcPr>
          <w:p>
            <w:r>
              <w:rPr>
                <w:color w:val="000000"/>
                <w:sz w:val="18"/>
                <w:szCs w:val="18"/>
              </w:rPr>
              <w:t xml:space="preserve">Yes</w:t>
            </w:r>
          </w:p>
        </w:tc>
      </w:tr>
      <w:tr>
        <w:tc>
          <w:tcPr>
            <w:tcW w:type="dxa" w:w="3500"/>
            <w:shd w:fill="FFFFFF" w:val="clear"/>
            <w:tcMar>
              <w:top w:type="dxa" w:w="60"/>
              <w:left w:type="dxa" w:w="100"/>
              <w:bottom w:type="dxa" w:w="60"/>
              <w:right w:type="dxa" w:w="60"/>
            </w:tcMar>
          </w:tcPr>
          <w:p>
            <w:r>
              <w:rPr>
                <w:color w:val="000000"/>
                <w:sz w:val="18"/>
                <w:szCs w:val="18"/>
              </w:rPr>
              <w:t xml:space="preserve">DownstreamApi__BaseUrl</w:t>
            </w:r>
          </w:p>
        </w:tc>
        <w:tc>
          <w:tcPr>
            <w:tcW w:type="dxa" w:w="3000"/>
            <w:shd w:fill="FFFFFF" w:val="clear"/>
            <w:tcMar>
              <w:top w:type="dxa" w:w="60"/>
              <w:left w:type="dxa" w:w="100"/>
              <w:bottom w:type="dxa" w:w="60"/>
              <w:right w:type="dxa" w:w="60"/>
            </w:tcMar>
          </w:tcPr>
          <w:p>
            <w:r>
              <w:rPr>
                <w:color w:val="000000"/>
                <w:sz w:val="18"/>
                <w:szCs w:val="18"/>
              </w:rPr>
              <w:t xml:space="preserve">https://{env}-api.intervention.com</w:t>
            </w:r>
          </w:p>
        </w:tc>
        <w:tc>
          <w:tcPr>
            <w:tcW w:type="dxa" w:w="1000"/>
            <w:shd w:fill="FFFFFF" w:val="clear"/>
            <w:tcMar>
              <w:top w:type="dxa" w:w="60"/>
              <w:left w:type="dxa" w:w="100"/>
              <w:bottom w:type="dxa" w:w="60"/>
              <w:right w:type="dxa" w:w="60"/>
            </w:tcMar>
          </w:tcPr>
          <w:p>
            <w:r>
              <w:rPr>
                <w:color w:val="000000"/>
                <w:sz w:val="18"/>
                <w:szCs w:val="18"/>
              </w:rPr>
              <w:t xml:space="preserve">Yes</w:t>
            </w:r>
          </w:p>
        </w:tc>
      </w:tr>
      <w:tr>
        <w:tc>
          <w:tcPr>
            <w:tcW w:type="dxa" w:w="3500"/>
            <w:shd w:fill="F5F5F5" w:val="clear"/>
            <w:tcMar>
              <w:top w:type="dxa" w:w="60"/>
              <w:left w:type="dxa" w:w="100"/>
              <w:bottom w:type="dxa" w:w="60"/>
              <w:right w:type="dxa" w:w="60"/>
            </w:tcMar>
          </w:tcPr>
          <w:p>
            <w:r>
              <w:rPr>
                <w:color w:val="000000"/>
                <w:sz w:val="18"/>
                <w:szCs w:val="18"/>
              </w:rPr>
              <w:t xml:space="preserve">ASPNETCORE_ENVIRONMENT</w:t>
            </w:r>
          </w:p>
        </w:tc>
        <w:tc>
          <w:tcPr>
            <w:tcW w:type="dxa" w:w="3000"/>
            <w:shd w:fill="F5F5F5" w:val="clear"/>
            <w:tcMar>
              <w:top w:type="dxa" w:w="60"/>
              <w:left w:type="dxa" w:w="100"/>
              <w:bottom w:type="dxa" w:w="60"/>
              <w:right w:type="dxa" w:w="60"/>
            </w:tcMar>
          </w:tcPr>
          <w:p>
            <w:r>
              <w:rPr>
                <w:color w:val="000000"/>
                <w:sz w:val="18"/>
                <w:szCs w:val="18"/>
              </w:rPr>
              <w:t xml:space="preserve">Development / UAT / Production</w:t>
            </w:r>
          </w:p>
        </w:tc>
        <w:tc>
          <w:tcPr>
            <w:tcW w:type="dxa" w:w="1000"/>
            <w:shd w:fill="F5F5F5" w:val="clear"/>
            <w:tcMar>
              <w:top w:type="dxa" w:w="60"/>
              <w:left w:type="dxa" w:w="100"/>
              <w:bottom w:type="dxa" w:w="60"/>
              <w:right w:type="dxa" w:w="60"/>
            </w:tcMar>
          </w:tcPr>
          <w:p>
            <w:r>
              <w:rPr>
                <w:color w:val="000000"/>
                <w:sz w:val="18"/>
                <w:szCs w:val="18"/>
              </w:rPr>
              <w:t xml:space="preserve">Yes</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left w:val="single" w:color="0078D4" w:sz="16"/>
              <w:bottom w:val="none"/>
              <w:right w:val="none"/>
            </w:tcBorders>
            <w:shd w:fill="E3EEF9" w:val="clear"/>
            <w:tcMar>
              <w:top w:type="dxa" w:w="80"/>
              <w:left w:type="dxa" w:w="140"/>
              <w:bottom w:type="dxa" w:w="80"/>
              <w:right w:type="dxa" w:w="80"/>
            </w:tcMar>
          </w:tcPr>
          <w:p>
            <w:pPr>
              <w:spacing w:after="40" w:before="0"/>
            </w:pPr>
            <w:r>
              <w:rPr>
                <w:b/>
                <w:bCs/>
                <w:color w:val="0078D4"/>
                <w:sz w:val="20"/>
                <w:szCs w:val="20"/>
              </w:rPr>
              <w:t xml:space="preserve">Linux Container Key Naming Rule</w:t>
            </w:r>
          </w:p>
          <w:p>
            <w:pPr>
              <w:spacing w:after="0" w:before="0"/>
            </w:pPr>
            <w:r>
              <w:rPr>
                <w:color w:val="424242"/>
                <w:sz w:val="19"/>
                <w:szCs w:val="19"/>
              </w:rPr>
              <w:t xml:space="preserve">Azure App Service on Linux maps JSON colon separators using double underscores (__), NOT single underscores or colons. Example: 'AzureAd:ClientId' in appsettings.json becomes 'AzureAd__ClientId' in the Azure Portal App Settings blade. This applies to ALL nested configuration keys.</w:t>
            </w:r>
          </w:p>
        </w:tc>
      </w:tr>
    </w:tbl>
    <w:p>
      <w:r>
        <w:br w:type="page"/>
      </w:r>
    </w:p>
    <w:tbl>
      <w:tblPr>
        <w:tblW w:type="pct" w:w="100%"/>
        <w:tblBorders>
          <w:top w:val="none"/>
          <w:left w:val="none"/>
          <w:bottom w:val="none"/>
          <w:right w:val="none"/>
          <w:insideH w:val="single" w:color="auto" w:sz="4"/>
          <w:insideV w:val="single" w:color="auto" w:sz="4"/>
        </w:tblBorders>
      </w:tblPr>
      <w:tblGrid>
        <w:gridCol w:w="1200"/>
        <w:gridCol w:w="8300"/>
      </w:tblGrid>
      <w:tr>
        <w:tc>
          <w:tcPr>
            <w:tcW w:type="dxa" w:w="1200"/>
            <w:shd w:fill="0D2B5C" w:val="clear"/>
            <w:tcMar>
              <w:top w:type="dxa" w:w="100"/>
              <w:left w:type="dxa" w:w="120"/>
              <w:bottom w:type="dxa" w:w="100"/>
              <w:right w:type="dxa" w:w="60"/>
            </w:tcMar>
            <w:vAlign w:val="center"/>
          </w:tcPr>
          <w:p>
            <w:pPr>
              <w:jc w:val="center"/>
            </w:pPr>
            <w:r>
              <w:rPr>
                <w:rFonts w:ascii="Calibri" w:cs="Calibri" w:eastAsia="Calibri" w:hAnsi="Calibri"/>
                <w:b/>
                <w:bCs/>
                <w:color w:val="FFFFFF"/>
                <w:sz w:val="32"/>
                <w:szCs w:val="32"/>
              </w:rPr>
              <w:t xml:space="preserve">§5</w:t>
            </w:r>
          </w:p>
        </w:tc>
        <w:tc>
          <w:tcPr>
            <w:tcW w:type="dxa" w:w="8300"/>
            <w:shd w:fill="E3EEF9" w:val="clear"/>
            <w:tcMar>
              <w:top w:type="dxa" w:w="80"/>
              <w:left w:type="dxa" w:w="160"/>
              <w:bottom w:type="dxa" w:w="80"/>
              <w:right w:type="dxa" w:w="80"/>
            </w:tcMar>
          </w:tcPr>
          <w:p>
            <w:pPr>
              <w:spacing w:after="40" w:before="0"/>
            </w:pPr>
            <w:r>
              <w:rPr>
                <w:rFonts w:ascii="Calibri" w:cs="Calibri" w:eastAsia="Calibri" w:hAnsi="Calibri"/>
                <w:b/>
                <w:bCs/>
                <w:color w:val="0D2B5C"/>
                <w:sz w:val="26"/>
                <w:szCs w:val="26"/>
              </w:rPr>
              <w:t xml:space="preserve">Azure App Registration Configuration</w:t>
            </w:r>
          </w:p>
          <w:p>
            <w:pPr>
              <w:spacing w:after="0" w:before="0"/>
            </w:pPr>
            <w:r>
              <w:rPr>
                <w:i/>
                <w:iCs/>
                <w:color w:val="006DA3"/>
                <w:sz w:val="18"/>
                <w:szCs w:val="18"/>
              </w:rPr>
              <w:t xml:space="preserve">UI and API registration details, permissions, scopes, and redirect URIs</w:t>
            </w:r>
          </w:p>
        </w:tc>
      </w:tr>
    </w:tbl>
    <w:p/>
    <w:p>
      <w:pPr>
        <w:pStyle w:val="Heading2"/>
        <w:spacing w:after="120" w:before="320"/>
      </w:pPr>
      <w:r>
        <w:t xml:space="preserve">5.1  UI App Registration  —  intervention-ui</w:t>
      </w:r>
    </w:p>
    <w:p>
      <w:pPr>
        <w:spacing w:after="60" w:before="60"/>
        <w:jc w:val="left"/>
      </w:pPr>
      <w:r>
        <w:rPr>
          <w:b w:val="false"/>
          <w:bCs w:val="false"/>
          <w:i w:val="false"/>
          <w:iCs w:val="false"/>
          <w:color w:val="000000"/>
          <w:sz w:val="20"/>
          <w:szCs w:val="20"/>
        </w:rPr>
        <w:t xml:space="preserve">The UI registration drives the OIDC sign-in flow and acquires tokens for both the downstream API and Microsoft Graph.</w:t>
      </w:r>
    </w:p>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2500"/>
        <w:gridCol w:w="7000"/>
      </w:tblGrid>
      <w:tr>
        <w:trPr>
          <w:tblHeader/>
        </w:trPr>
        <w:tc>
          <w:tcPr>
            <w:tcW w:type="dxa" w:w="2500"/>
            <w:shd w:fill="0D2B5C" w:val="clear"/>
            <w:tcMar>
              <w:top w:type="dxa" w:w="60"/>
              <w:left w:type="dxa" w:w="100"/>
              <w:bottom w:type="dxa" w:w="60"/>
              <w:right w:type="dxa" w:w="60"/>
            </w:tcMar>
          </w:tcPr>
          <w:p>
            <w:r>
              <w:rPr>
                <w:b/>
                <w:bCs/>
                <w:color w:val="FFFFFF"/>
                <w:sz w:val="18"/>
                <w:szCs w:val="18"/>
              </w:rPr>
              <w:t xml:space="preserve">Field</w:t>
            </w:r>
          </w:p>
        </w:tc>
        <w:tc>
          <w:tcPr>
            <w:tcW w:type="dxa" w:w="7000"/>
            <w:shd w:fill="0D2B5C" w:val="clear"/>
            <w:tcMar>
              <w:top w:type="dxa" w:w="60"/>
              <w:left w:type="dxa" w:w="100"/>
              <w:bottom w:type="dxa" w:w="60"/>
              <w:right w:type="dxa" w:w="60"/>
            </w:tcMar>
          </w:tcPr>
          <w:p>
            <w:r>
              <w:rPr>
                <w:b/>
                <w:bCs/>
                <w:color w:val="FFFFFF"/>
                <w:sz w:val="18"/>
                <w:szCs w:val="18"/>
              </w:rPr>
              <w:t xml:space="preserve">Value</w:t>
            </w:r>
          </w:p>
        </w:tc>
      </w:tr>
      <w:tr>
        <w:tc>
          <w:tcPr>
            <w:tcW w:type="dxa" w:w="2500"/>
            <w:shd w:fill="FFFFFF" w:val="clear"/>
            <w:tcMar>
              <w:top w:type="dxa" w:w="60"/>
              <w:left w:type="dxa" w:w="100"/>
              <w:bottom w:type="dxa" w:w="60"/>
              <w:right w:type="dxa" w:w="60"/>
            </w:tcMar>
          </w:tcPr>
          <w:p>
            <w:r>
              <w:rPr>
                <w:color w:val="000000"/>
                <w:sz w:val="18"/>
                <w:szCs w:val="18"/>
              </w:rPr>
              <w:t xml:space="preserve">Registration Name</w:t>
            </w:r>
          </w:p>
        </w:tc>
        <w:tc>
          <w:tcPr>
            <w:tcW w:type="dxa" w:w="7000"/>
            <w:shd w:fill="FFFFFF" w:val="clear"/>
            <w:tcMar>
              <w:top w:type="dxa" w:w="60"/>
              <w:left w:type="dxa" w:w="100"/>
              <w:bottom w:type="dxa" w:w="60"/>
              <w:right w:type="dxa" w:w="60"/>
            </w:tcMar>
          </w:tcPr>
          <w:p>
            <w:r>
              <w:rPr>
                <w:color w:val="000000"/>
                <w:sz w:val="18"/>
                <w:szCs w:val="18"/>
              </w:rPr>
              <w:t xml:space="preserve">intervention-ui</w:t>
            </w:r>
          </w:p>
        </w:tc>
      </w:tr>
      <w:tr>
        <w:tc>
          <w:tcPr>
            <w:tcW w:type="dxa" w:w="2500"/>
            <w:shd w:fill="F5F5F5" w:val="clear"/>
            <w:tcMar>
              <w:top w:type="dxa" w:w="60"/>
              <w:left w:type="dxa" w:w="100"/>
              <w:bottom w:type="dxa" w:w="60"/>
              <w:right w:type="dxa" w:w="60"/>
            </w:tcMar>
          </w:tcPr>
          <w:p>
            <w:r>
              <w:rPr>
                <w:color w:val="000000"/>
                <w:sz w:val="18"/>
                <w:szCs w:val="18"/>
              </w:rPr>
              <w:t xml:space="preserve">Application (Client) ID</w:t>
            </w:r>
          </w:p>
        </w:tc>
        <w:tc>
          <w:tcPr>
            <w:tcW w:type="dxa" w:w="7000"/>
            <w:shd w:fill="F5F5F5" w:val="clear"/>
            <w:tcMar>
              <w:top w:type="dxa" w:w="60"/>
              <w:left w:type="dxa" w:w="100"/>
              <w:bottom w:type="dxa" w:w="60"/>
              <w:right w:type="dxa" w:w="60"/>
            </w:tcMar>
          </w:tcPr>
          <w:p>
            <w:r>
              <w:rPr>
                <w:color w:val="000000"/>
                <w:sz w:val="18"/>
                <w:szCs w:val="18"/>
              </w:rPr>
              <w:t xml:space="preserve">&lt;UI_CLIENT_ID&gt;  — copy from Azure Portal after registration</w:t>
            </w:r>
          </w:p>
        </w:tc>
      </w:tr>
      <w:tr>
        <w:tc>
          <w:tcPr>
            <w:tcW w:type="dxa" w:w="2500"/>
            <w:shd w:fill="FFFFFF" w:val="clear"/>
            <w:tcMar>
              <w:top w:type="dxa" w:w="60"/>
              <w:left w:type="dxa" w:w="100"/>
              <w:bottom w:type="dxa" w:w="60"/>
              <w:right w:type="dxa" w:w="60"/>
            </w:tcMar>
          </w:tcPr>
          <w:p>
            <w:r>
              <w:rPr>
                <w:color w:val="000000"/>
                <w:sz w:val="18"/>
                <w:szCs w:val="18"/>
              </w:rPr>
              <w:t xml:space="preserve">Directory (Tenant) ID</w:t>
            </w:r>
          </w:p>
        </w:tc>
        <w:tc>
          <w:tcPr>
            <w:tcW w:type="dxa" w:w="7000"/>
            <w:shd w:fill="FFFFFF" w:val="clear"/>
            <w:tcMar>
              <w:top w:type="dxa" w:w="60"/>
              <w:left w:type="dxa" w:w="100"/>
              <w:bottom w:type="dxa" w:w="60"/>
              <w:right w:type="dxa" w:w="60"/>
            </w:tcMar>
          </w:tcPr>
          <w:p>
            <w:r>
              <w:rPr>
                <w:color w:val="000000"/>
                <w:sz w:val="18"/>
                <w:szCs w:val="18"/>
              </w:rPr>
              <w:t xml:space="preserve">&lt;TENANT_ID&gt;  — shared across both registrations</w:t>
            </w:r>
          </w:p>
        </w:tc>
      </w:tr>
      <w:tr>
        <w:tc>
          <w:tcPr>
            <w:tcW w:type="dxa" w:w="2500"/>
            <w:shd w:fill="F5F5F5" w:val="clear"/>
            <w:tcMar>
              <w:top w:type="dxa" w:w="60"/>
              <w:left w:type="dxa" w:w="100"/>
              <w:bottom w:type="dxa" w:w="60"/>
              <w:right w:type="dxa" w:w="60"/>
            </w:tcMar>
          </w:tcPr>
          <w:p>
            <w:r>
              <w:rPr>
                <w:color w:val="000000"/>
                <w:sz w:val="18"/>
                <w:szCs w:val="18"/>
              </w:rPr>
              <w:t xml:space="preserve">Supported Account Types</w:t>
            </w:r>
          </w:p>
        </w:tc>
        <w:tc>
          <w:tcPr>
            <w:tcW w:type="dxa" w:w="7000"/>
            <w:shd w:fill="F5F5F5" w:val="clear"/>
            <w:tcMar>
              <w:top w:type="dxa" w:w="60"/>
              <w:left w:type="dxa" w:w="100"/>
              <w:bottom w:type="dxa" w:w="60"/>
              <w:right w:type="dxa" w:w="60"/>
            </w:tcMar>
          </w:tcPr>
          <w:p>
            <w:r>
              <w:rPr>
                <w:color w:val="000000"/>
                <w:sz w:val="18"/>
                <w:szCs w:val="18"/>
              </w:rPr>
              <w:t xml:space="preserve">Accounts in this organisational directory only (Single tenant)</w:t>
            </w:r>
          </w:p>
        </w:tc>
      </w:tr>
      <w:tr>
        <w:tc>
          <w:tcPr>
            <w:tcW w:type="dxa" w:w="2500"/>
            <w:shd w:fill="FFFFFF" w:val="clear"/>
            <w:tcMar>
              <w:top w:type="dxa" w:w="60"/>
              <w:left w:type="dxa" w:w="100"/>
              <w:bottom w:type="dxa" w:w="60"/>
              <w:right w:type="dxa" w:w="60"/>
            </w:tcMar>
          </w:tcPr>
          <w:p>
            <w:r>
              <w:rPr>
                <w:color w:val="000000"/>
                <w:sz w:val="18"/>
                <w:szCs w:val="18"/>
              </w:rPr>
              <w:t xml:space="preserve">Application Type</w:t>
            </w:r>
          </w:p>
        </w:tc>
        <w:tc>
          <w:tcPr>
            <w:tcW w:type="dxa" w:w="7000"/>
            <w:shd w:fill="FFFFFF" w:val="clear"/>
            <w:tcMar>
              <w:top w:type="dxa" w:w="60"/>
              <w:left w:type="dxa" w:w="100"/>
              <w:bottom w:type="dxa" w:w="60"/>
              <w:right w:type="dxa" w:w="60"/>
            </w:tcMar>
          </w:tcPr>
          <w:p>
            <w:r>
              <w:rPr>
                <w:color w:val="000000"/>
                <w:sz w:val="18"/>
                <w:szCs w:val="18"/>
              </w:rPr>
              <w:t xml:space="preserve">Web (Confidential Client)</w:t>
            </w:r>
          </w:p>
        </w:tc>
      </w:tr>
    </w:tbl>
    <w:p/>
    <w:p>
      <w:pPr>
        <w:pStyle w:val="Heading3"/>
        <w:spacing w:after="80" w:before="240"/>
      </w:pPr>
      <w:r>
        <w:t xml:space="preserve">5.1.1  Redirect URIs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200"/>
        <w:gridCol w:w="4100"/>
        <w:gridCol w:w="4200"/>
      </w:tblGrid>
      <w:tr>
        <w:trPr>
          <w:tblHeader/>
        </w:trPr>
        <w:tc>
          <w:tcPr>
            <w:tcW w:type="dxa" w:w="1200"/>
            <w:shd w:fill="0D2B5C" w:val="clear"/>
            <w:tcMar>
              <w:top w:type="dxa" w:w="60"/>
              <w:left w:type="dxa" w:w="100"/>
              <w:bottom w:type="dxa" w:w="60"/>
              <w:right w:type="dxa" w:w="60"/>
            </w:tcMar>
          </w:tcPr>
          <w:p>
            <w:r>
              <w:rPr>
                <w:b/>
                <w:bCs/>
                <w:color w:val="FFFFFF"/>
                <w:sz w:val="18"/>
                <w:szCs w:val="18"/>
              </w:rPr>
              <w:t xml:space="preserve">Environment</w:t>
            </w:r>
          </w:p>
        </w:tc>
        <w:tc>
          <w:tcPr>
            <w:tcW w:type="dxa" w:w="4100"/>
            <w:shd w:fill="0D2B5C" w:val="clear"/>
            <w:tcMar>
              <w:top w:type="dxa" w:w="60"/>
              <w:left w:type="dxa" w:w="100"/>
              <w:bottom w:type="dxa" w:w="60"/>
              <w:right w:type="dxa" w:w="60"/>
            </w:tcMar>
          </w:tcPr>
          <w:p>
            <w:r>
              <w:rPr>
                <w:b/>
                <w:bCs/>
                <w:color w:val="FFFFFF"/>
                <w:sz w:val="18"/>
                <w:szCs w:val="18"/>
              </w:rPr>
              <w:t xml:space="preserve">Redirect URI</w:t>
            </w:r>
          </w:p>
        </w:tc>
        <w:tc>
          <w:tcPr>
            <w:tcW w:type="dxa" w:w="4200"/>
            <w:shd w:fill="0D2B5C" w:val="clear"/>
            <w:tcMar>
              <w:top w:type="dxa" w:w="60"/>
              <w:left w:type="dxa" w:w="100"/>
              <w:bottom w:type="dxa" w:w="60"/>
              <w:right w:type="dxa" w:w="60"/>
            </w:tcMar>
          </w:tcPr>
          <w:p>
            <w:r>
              <w:rPr>
                <w:b/>
                <w:bCs/>
                <w:color w:val="FFFFFF"/>
                <w:sz w:val="18"/>
                <w:szCs w:val="18"/>
              </w:rPr>
              <w:t xml:space="preserve">Logout URI</w:t>
            </w:r>
          </w:p>
        </w:tc>
      </w:tr>
      <w:tr>
        <w:tc>
          <w:tcPr>
            <w:tcW w:type="dxa" w:w="1200"/>
            <w:shd w:fill="FFFFFF" w:val="clear"/>
            <w:tcMar>
              <w:top w:type="dxa" w:w="60"/>
              <w:left w:type="dxa" w:w="100"/>
              <w:bottom w:type="dxa" w:w="60"/>
              <w:right w:type="dxa" w:w="60"/>
            </w:tcMar>
          </w:tcPr>
          <w:p>
            <w:r>
              <w:rPr>
                <w:color w:val="000000"/>
                <w:sz w:val="18"/>
                <w:szCs w:val="18"/>
              </w:rPr>
              <w:t xml:space="preserve">Local</w:t>
            </w:r>
          </w:p>
        </w:tc>
        <w:tc>
          <w:tcPr>
            <w:tcW w:type="dxa" w:w="4100"/>
            <w:shd w:fill="FFFFFF" w:val="clear"/>
            <w:tcMar>
              <w:top w:type="dxa" w:w="60"/>
              <w:left w:type="dxa" w:w="100"/>
              <w:bottom w:type="dxa" w:w="60"/>
              <w:right w:type="dxa" w:w="60"/>
            </w:tcMar>
          </w:tcPr>
          <w:p>
            <w:r>
              <w:rPr>
                <w:color w:val="000000"/>
                <w:sz w:val="18"/>
                <w:szCs w:val="18"/>
              </w:rPr>
              <w:t xml:space="preserve">https://localhost:5001/signin-oidc</w:t>
            </w:r>
          </w:p>
        </w:tc>
        <w:tc>
          <w:tcPr>
            <w:tcW w:type="dxa" w:w="4200"/>
            <w:shd w:fill="FFFFFF" w:val="clear"/>
            <w:tcMar>
              <w:top w:type="dxa" w:w="60"/>
              <w:left w:type="dxa" w:w="100"/>
              <w:bottom w:type="dxa" w:w="60"/>
              <w:right w:type="dxa" w:w="60"/>
            </w:tcMar>
          </w:tcPr>
          <w:p>
            <w:r>
              <w:rPr>
                <w:color w:val="000000"/>
                <w:sz w:val="18"/>
                <w:szCs w:val="18"/>
              </w:rPr>
              <w:t xml:space="preserve">https://localhost:5001/signout-oidc</w:t>
            </w:r>
          </w:p>
        </w:tc>
      </w:tr>
      <w:tr>
        <w:tc>
          <w:tcPr>
            <w:tcW w:type="dxa" w:w="1200"/>
            <w:shd w:fill="F5F5F5" w:val="clear"/>
            <w:tcMar>
              <w:top w:type="dxa" w:w="60"/>
              <w:left w:type="dxa" w:w="100"/>
              <w:bottom w:type="dxa" w:w="60"/>
              <w:right w:type="dxa" w:w="60"/>
            </w:tcMar>
          </w:tcPr>
          <w:p>
            <w:r>
              <w:rPr>
                <w:color w:val="000000"/>
                <w:sz w:val="18"/>
                <w:szCs w:val="18"/>
              </w:rPr>
              <w:t xml:space="preserve">DEV</w:t>
            </w:r>
          </w:p>
        </w:tc>
        <w:tc>
          <w:tcPr>
            <w:tcW w:type="dxa" w:w="4100"/>
            <w:shd w:fill="F5F5F5" w:val="clear"/>
            <w:tcMar>
              <w:top w:type="dxa" w:w="60"/>
              <w:left w:type="dxa" w:w="100"/>
              <w:bottom w:type="dxa" w:w="60"/>
              <w:right w:type="dxa" w:w="60"/>
            </w:tcMar>
          </w:tcPr>
          <w:p>
            <w:r>
              <w:rPr>
                <w:color w:val="000000"/>
                <w:sz w:val="18"/>
                <w:szCs w:val="18"/>
              </w:rPr>
              <w:t xml:space="preserve">https://dev.intervention.com/signin-oidc</w:t>
            </w:r>
          </w:p>
        </w:tc>
        <w:tc>
          <w:tcPr>
            <w:tcW w:type="dxa" w:w="4200"/>
            <w:shd w:fill="F5F5F5" w:val="clear"/>
            <w:tcMar>
              <w:top w:type="dxa" w:w="60"/>
              <w:left w:type="dxa" w:w="100"/>
              <w:bottom w:type="dxa" w:w="60"/>
              <w:right w:type="dxa" w:w="60"/>
            </w:tcMar>
          </w:tcPr>
          <w:p>
            <w:r>
              <w:rPr>
                <w:color w:val="000000"/>
                <w:sz w:val="18"/>
                <w:szCs w:val="18"/>
              </w:rPr>
              <w:t xml:space="preserve">https://dev.intervention.com/signout-oidc</w:t>
            </w:r>
          </w:p>
        </w:tc>
      </w:tr>
      <w:tr>
        <w:tc>
          <w:tcPr>
            <w:tcW w:type="dxa" w:w="1200"/>
            <w:shd w:fill="FFFFFF" w:val="clear"/>
            <w:tcMar>
              <w:top w:type="dxa" w:w="60"/>
              <w:left w:type="dxa" w:w="100"/>
              <w:bottom w:type="dxa" w:w="60"/>
              <w:right w:type="dxa" w:w="60"/>
            </w:tcMar>
          </w:tcPr>
          <w:p>
            <w:r>
              <w:rPr>
                <w:color w:val="000000"/>
                <w:sz w:val="18"/>
                <w:szCs w:val="18"/>
              </w:rPr>
              <w:t xml:space="preserve">UAT</w:t>
            </w:r>
          </w:p>
        </w:tc>
        <w:tc>
          <w:tcPr>
            <w:tcW w:type="dxa" w:w="4100"/>
            <w:shd w:fill="FFFFFF" w:val="clear"/>
            <w:tcMar>
              <w:top w:type="dxa" w:w="60"/>
              <w:left w:type="dxa" w:w="100"/>
              <w:bottom w:type="dxa" w:w="60"/>
              <w:right w:type="dxa" w:w="60"/>
            </w:tcMar>
          </w:tcPr>
          <w:p>
            <w:r>
              <w:rPr>
                <w:color w:val="000000"/>
                <w:sz w:val="18"/>
                <w:szCs w:val="18"/>
              </w:rPr>
              <w:t xml:space="preserve">https://uat.intervention.com/signin-oidc</w:t>
            </w:r>
          </w:p>
        </w:tc>
        <w:tc>
          <w:tcPr>
            <w:tcW w:type="dxa" w:w="4200"/>
            <w:shd w:fill="FFFFFF" w:val="clear"/>
            <w:tcMar>
              <w:top w:type="dxa" w:w="60"/>
              <w:left w:type="dxa" w:w="100"/>
              <w:bottom w:type="dxa" w:w="60"/>
              <w:right w:type="dxa" w:w="60"/>
            </w:tcMar>
          </w:tcPr>
          <w:p>
            <w:r>
              <w:rPr>
                <w:color w:val="000000"/>
                <w:sz w:val="18"/>
                <w:szCs w:val="18"/>
              </w:rPr>
              <w:t xml:space="preserve">https://uat.intervention.com/signout-oidc</w:t>
            </w:r>
          </w:p>
        </w:tc>
      </w:tr>
      <w:tr>
        <w:tc>
          <w:tcPr>
            <w:tcW w:type="dxa" w:w="1200"/>
            <w:shd w:fill="F5F5F5" w:val="clear"/>
            <w:tcMar>
              <w:top w:type="dxa" w:w="60"/>
              <w:left w:type="dxa" w:w="100"/>
              <w:bottom w:type="dxa" w:w="60"/>
              <w:right w:type="dxa" w:w="60"/>
            </w:tcMar>
          </w:tcPr>
          <w:p>
            <w:r>
              <w:rPr>
                <w:color w:val="000000"/>
                <w:sz w:val="18"/>
                <w:szCs w:val="18"/>
              </w:rPr>
              <w:t xml:space="preserve">STAGING</w:t>
            </w:r>
          </w:p>
        </w:tc>
        <w:tc>
          <w:tcPr>
            <w:tcW w:type="dxa" w:w="4100"/>
            <w:shd w:fill="F5F5F5" w:val="clear"/>
            <w:tcMar>
              <w:top w:type="dxa" w:w="60"/>
              <w:left w:type="dxa" w:w="100"/>
              <w:bottom w:type="dxa" w:w="60"/>
              <w:right w:type="dxa" w:w="60"/>
            </w:tcMar>
          </w:tcPr>
          <w:p>
            <w:r>
              <w:rPr>
                <w:color w:val="000000"/>
                <w:sz w:val="18"/>
                <w:szCs w:val="18"/>
              </w:rPr>
              <w:t xml:space="preserve">https://staging.intervention.com/signin-oidc</w:t>
            </w:r>
          </w:p>
        </w:tc>
        <w:tc>
          <w:tcPr>
            <w:tcW w:type="dxa" w:w="4200"/>
            <w:shd w:fill="F5F5F5" w:val="clear"/>
            <w:tcMar>
              <w:top w:type="dxa" w:w="60"/>
              <w:left w:type="dxa" w:w="100"/>
              <w:bottom w:type="dxa" w:w="60"/>
              <w:right w:type="dxa" w:w="60"/>
            </w:tcMar>
          </w:tcPr>
          <w:p>
            <w:r>
              <w:rPr>
                <w:color w:val="000000"/>
                <w:sz w:val="18"/>
                <w:szCs w:val="18"/>
              </w:rPr>
              <w:t xml:space="preserve">https://staging.intervention.com/signout-oidc</w:t>
            </w:r>
          </w:p>
        </w:tc>
      </w:tr>
      <w:tr>
        <w:tc>
          <w:tcPr>
            <w:tcW w:type="dxa" w:w="1200"/>
            <w:shd w:fill="FFFFFF" w:val="clear"/>
            <w:tcMar>
              <w:top w:type="dxa" w:w="60"/>
              <w:left w:type="dxa" w:w="100"/>
              <w:bottom w:type="dxa" w:w="60"/>
              <w:right w:type="dxa" w:w="60"/>
            </w:tcMar>
          </w:tcPr>
          <w:p>
            <w:r>
              <w:rPr>
                <w:color w:val="000000"/>
                <w:sz w:val="18"/>
                <w:szCs w:val="18"/>
              </w:rPr>
              <w:t xml:space="preserve">PREPROD</w:t>
            </w:r>
          </w:p>
        </w:tc>
        <w:tc>
          <w:tcPr>
            <w:tcW w:type="dxa" w:w="4100"/>
            <w:shd w:fill="FFFFFF" w:val="clear"/>
            <w:tcMar>
              <w:top w:type="dxa" w:w="60"/>
              <w:left w:type="dxa" w:w="100"/>
              <w:bottom w:type="dxa" w:w="60"/>
              <w:right w:type="dxa" w:w="60"/>
            </w:tcMar>
          </w:tcPr>
          <w:p>
            <w:r>
              <w:rPr>
                <w:color w:val="000000"/>
                <w:sz w:val="18"/>
                <w:szCs w:val="18"/>
              </w:rPr>
              <w:t xml:space="preserve">https://preprod.intervention.com/signin-oidc</w:t>
            </w:r>
          </w:p>
        </w:tc>
        <w:tc>
          <w:tcPr>
            <w:tcW w:type="dxa" w:w="4200"/>
            <w:shd w:fill="FFFFFF" w:val="clear"/>
            <w:tcMar>
              <w:top w:type="dxa" w:w="60"/>
              <w:left w:type="dxa" w:w="100"/>
              <w:bottom w:type="dxa" w:w="60"/>
              <w:right w:type="dxa" w:w="60"/>
            </w:tcMar>
          </w:tcPr>
          <w:p>
            <w:r>
              <w:rPr>
                <w:color w:val="000000"/>
                <w:sz w:val="18"/>
                <w:szCs w:val="18"/>
              </w:rPr>
              <w:t xml:space="preserve">https://preprod.intervention.com/signout-oidc</w:t>
            </w:r>
          </w:p>
        </w:tc>
      </w:tr>
      <w:tr>
        <w:tc>
          <w:tcPr>
            <w:tcW w:type="dxa" w:w="1200"/>
            <w:shd w:fill="F5F5F5" w:val="clear"/>
            <w:tcMar>
              <w:top w:type="dxa" w:w="60"/>
              <w:left w:type="dxa" w:w="100"/>
              <w:bottom w:type="dxa" w:w="60"/>
              <w:right w:type="dxa" w:w="60"/>
            </w:tcMar>
          </w:tcPr>
          <w:p>
            <w:r>
              <w:rPr>
                <w:color w:val="000000"/>
                <w:sz w:val="18"/>
                <w:szCs w:val="18"/>
              </w:rPr>
              <w:t xml:space="preserve">PROD</w:t>
            </w:r>
          </w:p>
        </w:tc>
        <w:tc>
          <w:tcPr>
            <w:tcW w:type="dxa" w:w="4100"/>
            <w:shd w:fill="F5F5F5" w:val="clear"/>
            <w:tcMar>
              <w:top w:type="dxa" w:w="60"/>
              <w:left w:type="dxa" w:w="100"/>
              <w:bottom w:type="dxa" w:w="60"/>
              <w:right w:type="dxa" w:w="60"/>
            </w:tcMar>
          </w:tcPr>
          <w:p>
            <w:r>
              <w:rPr>
                <w:color w:val="000000"/>
                <w:sz w:val="18"/>
                <w:szCs w:val="18"/>
              </w:rPr>
              <w:t xml:space="preserve">https://company.intervention.com/signin-oidc</w:t>
            </w:r>
          </w:p>
        </w:tc>
        <w:tc>
          <w:tcPr>
            <w:tcW w:type="dxa" w:w="4200"/>
            <w:shd w:fill="F5F5F5" w:val="clear"/>
            <w:tcMar>
              <w:top w:type="dxa" w:w="60"/>
              <w:left w:type="dxa" w:w="100"/>
              <w:bottom w:type="dxa" w:w="60"/>
              <w:right w:type="dxa" w:w="60"/>
            </w:tcMar>
          </w:tcPr>
          <w:p>
            <w:r>
              <w:rPr>
                <w:color w:val="000000"/>
                <w:sz w:val="18"/>
                <w:szCs w:val="18"/>
              </w:rPr>
              <w:t xml:space="preserve">https://company.intervention.com/signout-oidc</w:t>
            </w:r>
          </w:p>
        </w:tc>
      </w:tr>
    </w:tbl>
    <w:p/>
    <w:p>
      <w:pPr>
        <w:pStyle w:val="Heading3"/>
        <w:spacing w:after="80" w:before="240"/>
      </w:pPr>
      <w:r>
        <w:t xml:space="preserve">5.1.2  API Permissions (UI Registration)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1400"/>
        <w:gridCol w:w="3200"/>
        <w:gridCol w:w="1600"/>
      </w:tblGrid>
      <w:tr>
        <w:trPr>
          <w:tblHeader/>
        </w:trPr>
        <w:tc>
          <w:tcPr>
            <w:tcW w:type="dxa" w:w="2800"/>
            <w:shd w:fill="0D2B5C" w:val="clear"/>
            <w:tcMar>
              <w:top w:type="dxa" w:w="60"/>
              <w:left w:type="dxa" w:w="100"/>
              <w:bottom w:type="dxa" w:w="60"/>
              <w:right w:type="dxa" w:w="60"/>
            </w:tcMar>
          </w:tcPr>
          <w:p>
            <w:r>
              <w:rPr>
                <w:b/>
                <w:bCs/>
                <w:color w:val="FFFFFF"/>
                <w:sz w:val="18"/>
                <w:szCs w:val="18"/>
              </w:rPr>
              <w:t xml:space="preserve">Permission</w:t>
            </w:r>
          </w:p>
        </w:tc>
        <w:tc>
          <w:tcPr>
            <w:tcW w:type="dxa" w:w="1400"/>
            <w:shd w:fill="0D2B5C" w:val="clear"/>
            <w:tcMar>
              <w:top w:type="dxa" w:w="60"/>
              <w:left w:type="dxa" w:w="100"/>
              <w:bottom w:type="dxa" w:w="60"/>
              <w:right w:type="dxa" w:w="60"/>
            </w:tcMar>
          </w:tcPr>
          <w:p>
            <w:r>
              <w:rPr>
                <w:b/>
                <w:bCs/>
                <w:color w:val="FFFFFF"/>
                <w:sz w:val="18"/>
                <w:szCs w:val="18"/>
              </w:rPr>
              <w:t xml:space="preserve">Type</w:t>
            </w:r>
          </w:p>
        </w:tc>
        <w:tc>
          <w:tcPr>
            <w:tcW w:type="dxa" w:w="3200"/>
            <w:shd w:fill="0D2B5C" w:val="clear"/>
            <w:tcMar>
              <w:top w:type="dxa" w:w="60"/>
              <w:left w:type="dxa" w:w="100"/>
              <w:bottom w:type="dxa" w:w="60"/>
              <w:right w:type="dxa" w:w="60"/>
            </w:tcMar>
          </w:tcPr>
          <w:p>
            <w:r>
              <w:rPr>
                <w:b/>
                <w:bCs/>
                <w:color w:val="FFFFFF"/>
                <w:sz w:val="18"/>
                <w:szCs w:val="18"/>
              </w:rPr>
              <w:t xml:space="preserve">Purpose</w:t>
            </w:r>
          </w:p>
        </w:tc>
        <w:tc>
          <w:tcPr>
            <w:tcW w:type="dxa" w:w="1600"/>
            <w:shd w:fill="0D2B5C" w:val="clear"/>
            <w:tcMar>
              <w:top w:type="dxa" w:w="60"/>
              <w:left w:type="dxa" w:w="100"/>
              <w:bottom w:type="dxa" w:w="60"/>
              <w:right w:type="dxa" w:w="60"/>
            </w:tcMar>
          </w:tcPr>
          <w:p>
            <w:r>
              <w:rPr>
                <w:b/>
                <w:bCs/>
                <w:color w:val="FFFFFF"/>
                <w:sz w:val="18"/>
                <w:szCs w:val="18"/>
              </w:rPr>
              <w:t xml:space="preserve">Admin Consent</w:t>
            </w:r>
          </w:p>
        </w:tc>
      </w:tr>
      <w:tr>
        <w:tc>
          <w:tcPr>
            <w:tcW w:type="dxa" w:w="2800"/>
            <w:shd w:fill="FFFFFF" w:val="clear"/>
            <w:tcMar>
              <w:top w:type="dxa" w:w="60"/>
              <w:left w:type="dxa" w:w="100"/>
              <w:bottom w:type="dxa" w:w="60"/>
              <w:right w:type="dxa" w:w="60"/>
            </w:tcMar>
          </w:tcPr>
          <w:p>
            <w:r>
              <w:rPr>
                <w:color w:val="000000"/>
                <w:sz w:val="18"/>
                <w:szCs w:val="18"/>
              </w:rPr>
              <w:t xml:space="preserve">openid</w:t>
            </w:r>
          </w:p>
        </w:tc>
        <w:tc>
          <w:tcPr>
            <w:tcW w:type="dxa" w:w="1400"/>
            <w:shd w:fill="FFFFFF" w:val="clear"/>
            <w:tcMar>
              <w:top w:type="dxa" w:w="60"/>
              <w:left w:type="dxa" w:w="100"/>
              <w:bottom w:type="dxa" w:w="60"/>
              <w:right w:type="dxa" w:w="60"/>
            </w:tcMar>
          </w:tcPr>
          <w:p>
            <w:r>
              <w:rPr>
                <w:color w:val="000000"/>
                <w:sz w:val="18"/>
                <w:szCs w:val="18"/>
              </w:rPr>
              <w:t xml:space="preserve">Delegated (Microsoft Graph)</w:t>
            </w:r>
          </w:p>
        </w:tc>
        <w:tc>
          <w:tcPr>
            <w:tcW w:type="dxa" w:w="3200"/>
            <w:shd w:fill="FFFFFF" w:val="clear"/>
            <w:tcMar>
              <w:top w:type="dxa" w:w="60"/>
              <w:left w:type="dxa" w:w="100"/>
              <w:bottom w:type="dxa" w:w="60"/>
              <w:right w:type="dxa" w:w="60"/>
            </w:tcMar>
          </w:tcPr>
          <w:p>
            <w:r>
              <w:rPr>
                <w:color w:val="000000"/>
                <w:sz w:val="18"/>
                <w:szCs w:val="18"/>
              </w:rPr>
              <w:t xml:space="preserve">Base OIDC sign-in</w:t>
            </w:r>
          </w:p>
        </w:tc>
        <w:tc>
          <w:tcPr>
            <w:tcW w:type="dxa" w:w="1600"/>
            <w:shd w:fill="FFFFFF" w:val="clear"/>
            <w:tcMar>
              <w:top w:type="dxa" w:w="60"/>
              <w:left w:type="dxa" w:w="100"/>
              <w:bottom w:type="dxa" w:w="60"/>
              <w:right w:type="dxa" w:w="60"/>
            </w:tcMar>
          </w:tcPr>
          <w:p>
            <w:r>
              <w:rPr>
                <w:color w:val="000000"/>
                <w:sz w:val="18"/>
                <w:szCs w:val="18"/>
              </w:rPr>
              <w:t xml:space="preserve">No</w:t>
            </w:r>
          </w:p>
        </w:tc>
      </w:tr>
      <w:tr>
        <w:tc>
          <w:tcPr>
            <w:tcW w:type="dxa" w:w="2800"/>
            <w:shd w:fill="F5F5F5" w:val="clear"/>
            <w:tcMar>
              <w:top w:type="dxa" w:w="60"/>
              <w:left w:type="dxa" w:w="100"/>
              <w:bottom w:type="dxa" w:w="60"/>
              <w:right w:type="dxa" w:w="60"/>
            </w:tcMar>
          </w:tcPr>
          <w:p>
            <w:r>
              <w:rPr>
                <w:color w:val="000000"/>
                <w:sz w:val="18"/>
                <w:szCs w:val="18"/>
              </w:rPr>
              <w:t xml:space="preserve">profile</w:t>
            </w:r>
          </w:p>
        </w:tc>
        <w:tc>
          <w:tcPr>
            <w:tcW w:type="dxa" w:w="1400"/>
            <w:shd w:fill="F5F5F5" w:val="clear"/>
            <w:tcMar>
              <w:top w:type="dxa" w:w="60"/>
              <w:left w:type="dxa" w:w="100"/>
              <w:bottom w:type="dxa" w:w="60"/>
              <w:right w:type="dxa" w:w="60"/>
            </w:tcMar>
          </w:tcPr>
          <w:p>
            <w:r>
              <w:rPr>
                <w:color w:val="000000"/>
                <w:sz w:val="18"/>
                <w:szCs w:val="18"/>
              </w:rPr>
              <w:t xml:space="preserve">Delegated (Microsoft Graph)</w:t>
            </w:r>
          </w:p>
        </w:tc>
        <w:tc>
          <w:tcPr>
            <w:tcW w:type="dxa" w:w="3200"/>
            <w:shd w:fill="F5F5F5" w:val="clear"/>
            <w:tcMar>
              <w:top w:type="dxa" w:w="60"/>
              <w:left w:type="dxa" w:w="100"/>
              <w:bottom w:type="dxa" w:w="60"/>
              <w:right w:type="dxa" w:w="60"/>
            </w:tcMar>
          </w:tcPr>
          <w:p>
            <w:r>
              <w:rPr>
                <w:color w:val="000000"/>
                <w:sz w:val="18"/>
                <w:szCs w:val="18"/>
              </w:rPr>
              <w:t xml:space="preserve">User display name and photo</w:t>
            </w:r>
          </w:p>
        </w:tc>
        <w:tc>
          <w:tcPr>
            <w:tcW w:type="dxa" w:w="1600"/>
            <w:shd w:fill="F5F5F5" w:val="clear"/>
            <w:tcMar>
              <w:top w:type="dxa" w:w="60"/>
              <w:left w:type="dxa" w:w="100"/>
              <w:bottom w:type="dxa" w:w="60"/>
              <w:right w:type="dxa" w:w="60"/>
            </w:tcMar>
          </w:tcPr>
          <w:p>
            <w:r>
              <w:rPr>
                <w:color w:val="000000"/>
                <w:sz w:val="18"/>
                <w:szCs w:val="18"/>
              </w:rPr>
              <w:t xml:space="preserve">No</w:t>
            </w:r>
          </w:p>
        </w:tc>
      </w:tr>
      <w:tr>
        <w:tc>
          <w:tcPr>
            <w:tcW w:type="dxa" w:w="2800"/>
            <w:shd w:fill="FFFFFF" w:val="clear"/>
            <w:tcMar>
              <w:top w:type="dxa" w:w="60"/>
              <w:left w:type="dxa" w:w="100"/>
              <w:bottom w:type="dxa" w:w="60"/>
              <w:right w:type="dxa" w:w="60"/>
            </w:tcMar>
          </w:tcPr>
          <w:p>
            <w:r>
              <w:rPr>
                <w:color w:val="000000"/>
                <w:sz w:val="18"/>
                <w:szCs w:val="18"/>
              </w:rPr>
              <w:t xml:space="preserve">email</w:t>
            </w:r>
          </w:p>
        </w:tc>
        <w:tc>
          <w:tcPr>
            <w:tcW w:type="dxa" w:w="1400"/>
            <w:shd w:fill="FFFFFF" w:val="clear"/>
            <w:tcMar>
              <w:top w:type="dxa" w:w="60"/>
              <w:left w:type="dxa" w:w="100"/>
              <w:bottom w:type="dxa" w:w="60"/>
              <w:right w:type="dxa" w:w="60"/>
            </w:tcMar>
          </w:tcPr>
          <w:p>
            <w:r>
              <w:rPr>
                <w:color w:val="000000"/>
                <w:sz w:val="18"/>
                <w:szCs w:val="18"/>
              </w:rPr>
              <w:t xml:space="preserve">Delegated (Microsoft Graph)</w:t>
            </w:r>
          </w:p>
        </w:tc>
        <w:tc>
          <w:tcPr>
            <w:tcW w:type="dxa" w:w="3200"/>
            <w:shd w:fill="FFFFFF" w:val="clear"/>
            <w:tcMar>
              <w:top w:type="dxa" w:w="60"/>
              <w:left w:type="dxa" w:w="100"/>
              <w:bottom w:type="dxa" w:w="60"/>
              <w:right w:type="dxa" w:w="60"/>
            </w:tcMar>
          </w:tcPr>
          <w:p>
            <w:r>
              <w:rPr>
                <w:color w:val="000000"/>
                <w:sz w:val="18"/>
                <w:szCs w:val="18"/>
              </w:rPr>
              <w:t xml:space="preserve">User email address claim</w:t>
            </w:r>
          </w:p>
        </w:tc>
        <w:tc>
          <w:tcPr>
            <w:tcW w:type="dxa" w:w="1600"/>
            <w:shd w:fill="FFFFFF" w:val="clear"/>
            <w:tcMar>
              <w:top w:type="dxa" w:w="60"/>
              <w:left w:type="dxa" w:w="100"/>
              <w:bottom w:type="dxa" w:w="60"/>
              <w:right w:type="dxa" w:w="60"/>
            </w:tcMar>
          </w:tcPr>
          <w:p>
            <w:r>
              <w:rPr>
                <w:color w:val="000000"/>
                <w:sz w:val="18"/>
                <w:szCs w:val="18"/>
              </w:rPr>
              <w:t xml:space="preserve">No</w:t>
            </w:r>
          </w:p>
        </w:tc>
      </w:tr>
      <w:tr>
        <w:tc>
          <w:tcPr>
            <w:tcW w:type="dxa" w:w="2800"/>
            <w:shd w:fill="F5F5F5" w:val="clear"/>
            <w:tcMar>
              <w:top w:type="dxa" w:w="60"/>
              <w:left w:type="dxa" w:w="100"/>
              <w:bottom w:type="dxa" w:w="60"/>
              <w:right w:type="dxa" w:w="60"/>
            </w:tcMar>
          </w:tcPr>
          <w:p>
            <w:r>
              <w:rPr>
                <w:color w:val="000000"/>
                <w:sz w:val="18"/>
                <w:szCs w:val="18"/>
              </w:rPr>
              <w:t xml:space="preserve">offline_access</w:t>
            </w:r>
          </w:p>
        </w:tc>
        <w:tc>
          <w:tcPr>
            <w:tcW w:type="dxa" w:w="1400"/>
            <w:shd w:fill="F5F5F5" w:val="clear"/>
            <w:tcMar>
              <w:top w:type="dxa" w:w="60"/>
              <w:left w:type="dxa" w:w="100"/>
              <w:bottom w:type="dxa" w:w="60"/>
              <w:right w:type="dxa" w:w="60"/>
            </w:tcMar>
          </w:tcPr>
          <w:p>
            <w:r>
              <w:rPr>
                <w:color w:val="000000"/>
                <w:sz w:val="18"/>
                <w:szCs w:val="18"/>
              </w:rPr>
              <w:t xml:space="preserve">Delegated (Microsoft Graph)</w:t>
            </w:r>
          </w:p>
        </w:tc>
        <w:tc>
          <w:tcPr>
            <w:tcW w:type="dxa" w:w="3200"/>
            <w:shd w:fill="F5F5F5" w:val="clear"/>
            <w:tcMar>
              <w:top w:type="dxa" w:w="60"/>
              <w:left w:type="dxa" w:w="100"/>
              <w:bottom w:type="dxa" w:w="60"/>
              <w:right w:type="dxa" w:w="60"/>
            </w:tcMar>
          </w:tcPr>
          <w:p>
            <w:r>
              <w:rPr>
                <w:color w:val="000000"/>
                <w:sz w:val="18"/>
                <w:szCs w:val="18"/>
              </w:rPr>
              <w:t xml:space="preserve">Refresh token acquisition for silent renewal</w:t>
            </w:r>
          </w:p>
        </w:tc>
        <w:tc>
          <w:tcPr>
            <w:tcW w:type="dxa" w:w="1600"/>
            <w:shd w:fill="F5F5F5" w:val="clear"/>
            <w:tcMar>
              <w:top w:type="dxa" w:w="60"/>
              <w:left w:type="dxa" w:w="100"/>
              <w:bottom w:type="dxa" w:w="60"/>
              <w:right w:type="dxa" w:w="60"/>
            </w:tcMar>
          </w:tcPr>
          <w:p>
            <w:r>
              <w:rPr>
                <w:color w:val="000000"/>
                <w:sz w:val="18"/>
                <w:szCs w:val="18"/>
              </w:rPr>
              <w:t xml:space="preserve">No</w:t>
            </w:r>
          </w:p>
        </w:tc>
      </w:tr>
      <w:tr>
        <w:tc>
          <w:tcPr>
            <w:tcW w:type="dxa" w:w="2800"/>
            <w:shd w:fill="FFFFFF" w:val="clear"/>
            <w:tcMar>
              <w:top w:type="dxa" w:w="60"/>
              <w:left w:type="dxa" w:w="100"/>
              <w:bottom w:type="dxa" w:w="60"/>
              <w:right w:type="dxa" w:w="60"/>
            </w:tcMar>
          </w:tcPr>
          <w:p>
            <w:r>
              <w:rPr>
                <w:color w:val="000000"/>
                <w:sz w:val="18"/>
                <w:szCs w:val="18"/>
              </w:rPr>
              <w:t xml:space="preserve">User.Read</w:t>
            </w:r>
          </w:p>
        </w:tc>
        <w:tc>
          <w:tcPr>
            <w:tcW w:type="dxa" w:w="1400"/>
            <w:shd w:fill="FFFFFF" w:val="clear"/>
            <w:tcMar>
              <w:top w:type="dxa" w:w="60"/>
              <w:left w:type="dxa" w:w="100"/>
              <w:bottom w:type="dxa" w:w="60"/>
              <w:right w:type="dxa" w:w="60"/>
            </w:tcMar>
          </w:tcPr>
          <w:p>
            <w:r>
              <w:rPr>
                <w:color w:val="000000"/>
                <w:sz w:val="18"/>
                <w:szCs w:val="18"/>
              </w:rPr>
              <w:t xml:space="preserve">Delegated (Microsoft Graph)</w:t>
            </w:r>
          </w:p>
        </w:tc>
        <w:tc>
          <w:tcPr>
            <w:tcW w:type="dxa" w:w="3200"/>
            <w:shd w:fill="FFFFFF" w:val="clear"/>
            <w:tcMar>
              <w:top w:type="dxa" w:w="60"/>
              <w:left w:type="dxa" w:w="100"/>
              <w:bottom w:type="dxa" w:w="60"/>
              <w:right w:type="dxa" w:w="60"/>
            </w:tcMar>
          </w:tcPr>
          <w:p>
            <w:r>
              <w:rPr>
                <w:color w:val="000000"/>
                <w:sz w:val="18"/>
                <w:szCs w:val="18"/>
              </w:rPr>
              <w:t xml:space="preserve">Read signed-in user's profile via /me</w:t>
            </w:r>
          </w:p>
        </w:tc>
        <w:tc>
          <w:tcPr>
            <w:tcW w:type="dxa" w:w="1600"/>
            <w:shd w:fill="FFFFFF" w:val="clear"/>
            <w:tcMar>
              <w:top w:type="dxa" w:w="60"/>
              <w:left w:type="dxa" w:w="100"/>
              <w:bottom w:type="dxa" w:w="60"/>
              <w:right w:type="dxa" w:w="60"/>
            </w:tcMar>
          </w:tcPr>
          <w:p>
            <w:r>
              <w:rPr>
                <w:color w:val="000000"/>
                <w:sz w:val="18"/>
                <w:szCs w:val="18"/>
              </w:rPr>
              <w:t xml:space="preserve">No</w:t>
            </w:r>
          </w:p>
        </w:tc>
      </w:tr>
      <w:tr>
        <w:tc>
          <w:tcPr>
            <w:tcW w:type="dxa" w:w="2800"/>
            <w:shd w:fill="F5F5F5" w:val="clear"/>
            <w:tcMar>
              <w:top w:type="dxa" w:w="60"/>
              <w:left w:type="dxa" w:w="100"/>
              <w:bottom w:type="dxa" w:w="60"/>
              <w:right w:type="dxa" w:w="60"/>
            </w:tcMar>
          </w:tcPr>
          <w:p>
            <w:r>
              <w:rPr>
                <w:color w:val="000000"/>
                <w:sz w:val="18"/>
                <w:szCs w:val="18"/>
              </w:rPr>
              <w:t xml:space="preserve">GroupMember.Read.All</w:t>
            </w:r>
          </w:p>
        </w:tc>
        <w:tc>
          <w:tcPr>
            <w:tcW w:type="dxa" w:w="1400"/>
            <w:shd w:fill="F5F5F5" w:val="clear"/>
            <w:tcMar>
              <w:top w:type="dxa" w:w="60"/>
              <w:left w:type="dxa" w:w="100"/>
              <w:bottom w:type="dxa" w:w="60"/>
              <w:right w:type="dxa" w:w="60"/>
            </w:tcMar>
          </w:tcPr>
          <w:p>
            <w:r>
              <w:rPr>
                <w:color w:val="000000"/>
                <w:sz w:val="18"/>
                <w:szCs w:val="18"/>
              </w:rPr>
              <w:t xml:space="preserve">Delegated (Microsoft Graph)</w:t>
            </w:r>
          </w:p>
        </w:tc>
        <w:tc>
          <w:tcPr>
            <w:tcW w:type="dxa" w:w="3200"/>
            <w:shd w:fill="F5F5F5" w:val="clear"/>
            <w:tcMar>
              <w:top w:type="dxa" w:w="60"/>
              <w:left w:type="dxa" w:w="100"/>
              <w:bottom w:type="dxa" w:w="60"/>
              <w:right w:type="dxa" w:w="60"/>
            </w:tcMar>
          </w:tcPr>
          <w:p>
            <w:r>
              <w:rPr>
                <w:color w:val="000000"/>
                <w:sz w:val="18"/>
                <w:szCs w:val="18"/>
              </w:rPr>
              <w:t xml:space="preserve">Read user's group memberships for role mapping</w:t>
            </w:r>
          </w:p>
        </w:tc>
        <w:tc>
          <w:tcPr>
            <w:tcW w:type="dxa" w:w="1600"/>
            <w:shd w:fill="F5F5F5" w:val="clear"/>
            <w:tcMar>
              <w:top w:type="dxa" w:w="60"/>
              <w:left w:type="dxa" w:w="100"/>
              <w:bottom w:type="dxa" w:w="60"/>
              <w:right w:type="dxa" w:w="60"/>
            </w:tcMar>
          </w:tcPr>
          <w:p>
            <w:r>
              <w:rPr>
                <w:color w:val="000000"/>
                <w:sz w:val="18"/>
                <w:szCs w:val="18"/>
              </w:rPr>
              <w:t xml:space="preserve">YES — Required</w:t>
            </w:r>
          </w:p>
        </w:tc>
      </w:tr>
      <w:tr>
        <w:tc>
          <w:tcPr>
            <w:tcW w:type="dxa" w:w="2800"/>
            <w:shd w:fill="FFFFFF" w:val="clear"/>
            <w:tcMar>
              <w:top w:type="dxa" w:w="60"/>
              <w:left w:type="dxa" w:w="100"/>
              <w:bottom w:type="dxa" w:w="60"/>
              <w:right w:type="dxa" w:w="60"/>
            </w:tcMar>
          </w:tcPr>
          <w:p>
            <w:r>
              <w:rPr>
                <w:color w:val="000000"/>
                <w:sz w:val="18"/>
                <w:szCs w:val="18"/>
              </w:rPr>
              <w:t xml:space="preserve">Directory.Read.All</w:t>
            </w:r>
          </w:p>
        </w:tc>
        <w:tc>
          <w:tcPr>
            <w:tcW w:type="dxa" w:w="1400"/>
            <w:shd w:fill="FFFFFF" w:val="clear"/>
            <w:tcMar>
              <w:top w:type="dxa" w:w="60"/>
              <w:left w:type="dxa" w:w="100"/>
              <w:bottom w:type="dxa" w:w="60"/>
              <w:right w:type="dxa" w:w="60"/>
            </w:tcMar>
          </w:tcPr>
          <w:p>
            <w:r>
              <w:rPr>
                <w:color w:val="000000"/>
                <w:sz w:val="18"/>
                <w:szCs w:val="18"/>
              </w:rPr>
              <w:t xml:space="preserve">Delegated (Microsoft Graph)</w:t>
            </w:r>
          </w:p>
        </w:tc>
        <w:tc>
          <w:tcPr>
            <w:tcW w:type="dxa" w:w="3200"/>
            <w:shd w:fill="FFFFFF" w:val="clear"/>
            <w:tcMar>
              <w:top w:type="dxa" w:w="60"/>
              <w:left w:type="dxa" w:w="100"/>
              <w:bottom w:type="dxa" w:w="60"/>
              <w:right w:type="dxa" w:w="60"/>
            </w:tcMar>
          </w:tcPr>
          <w:p>
            <w:r>
              <w:rPr>
                <w:color w:val="000000"/>
                <w:sz w:val="18"/>
                <w:szCs w:val="18"/>
              </w:rPr>
              <w:t xml:space="preserve">Read directory objects for manager lookup</w:t>
            </w:r>
          </w:p>
        </w:tc>
        <w:tc>
          <w:tcPr>
            <w:tcW w:type="dxa" w:w="1600"/>
            <w:shd w:fill="FFFFFF" w:val="clear"/>
            <w:tcMar>
              <w:top w:type="dxa" w:w="60"/>
              <w:left w:type="dxa" w:w="100"/>
              <w:bottom w:type="dxa" w:w="60"/>
              <w:right w:type="dxa" w:w="60"/>
            </w:tcMar>
          </w:tcPr>
          <w:p>
            <w:r>
              <w:rPr>
                <w:color w:val="000000"/>
                <w:sz w:val="18"/>
                <w:szCs w:val="18"/>
              </w:rPr>
              <w:t xml:space="preserve">YES — Required</w:t>
            </w:r>
          </w:p>
        </w:tc>
      </w:tr>
      <w:tr>
        <w:tc>
          <w:tcPr>
            <w:tcW w:type="dxa" w:w="2800"/>
            <w:shd w:fill="F5F5F5" w:val="clear"/>
            <w:tcMar>
              <w:top w:type="dxa" w:w="60"/>
              <w:left w:type="dxa" w:w="100"/>
              <w:bottom w:type="dxa" w:w="60"/>
              <w:right w:type="dxa" w:w="60"/>
            </w:tcMar>
          </w:tcPr>
          <w:p>
            <w:r>
              <w:rPr>
                <w:color w:val="000000"/>
                <w:sz w:val="18"/>
                <w:szCs w:val="18"/>
              </w:rPr>
              <w:t xml:space="preserve">api://&lt;API_CLIENT_ID&gt;/access_as_user</w:t>
            </w:r>
          </w:p>
        </w:tc>
        <w:tc>
          <w:tcPr>
            <w:tcW w:type="dxa" w:w="1400"/>
            <w:shd w:fill="F5F5F5" w:val="clear"/>
            <w:tcMar>
              <w:top w:type="dxa" w:w="60"/>
              <w:left w:type="dxa" w:w="100"/>
              <w:bottom w:type="dxa" w:w="60"/>
              <w:right w:type="dxa" w:w="60"/>
            </w:tcMar>
          </w:tcPr>
          <w:p>
            <w:r>
              <w:rPr>
                <w:color w:val="000000"/>
                <w:sz w:val="18"/>
                <w:szCs w:val="18"/>
              </w:rPr>
              <w:t xml:space="preserve">Delegated (intervention-api)</w:t>
            </w:r>
          </w:p>
        </w:tc>
        <w:tc>
          <w:tcPr>
            <w:tcW w:type="dxa" w:w="3200"/>
            <w:shd w:fill="F5F5F5" w:val="clear"/>
            <w:tcMar>
              <w:top w:type="dxa" w:w="60"/>
              <w:left w:type="dxa" w:w="100"/>
              <w:bottom w:type="dxa" w:w="60"/>
              <w:right w:type="dxa" w:w="60"/>
            </w:tcMar>
          </w:tcPr>
          <w:p>
            <w:r>
              <w:rPr>
                <w:color w:val="000000"/>
                <w:sz w:val="18"/>
                <w:szCs w:val="18"/>
              </w:rPr>
              <w:t xml:space="preserve">Acquire access token for IMP API calls</w:t>
            </w:r>
          </w:p>
        </w:tc>
        <w:tc>
          <w:tcPr>
            <w:tcW w:type="dxa" w:w="1600"/>
            <w:shd w:fill="F5F5F5" w:val="clear"/>
            <w:tcMar>
              <w:top w:type="dxa" w:w="60"/>
              <w:left w:type="dxa" w:w="100"/>
              <w:bottom w:type="dxa" w:w="60"/>
              <w:right w:type="dxa" w:w="60"/>
            </w:tcMar>
          </w:tcPr>
          <w:p>
            <w:r>
              <w:rPr>
                <w:color w:val="000000"/>
                <w:sz w:val="18"/>
                <w:szCs w:val="18"/>
              </w:rPr>
              <w:t xml:space="preserve">YES — Required</w:t>
            </w:r>
          </w:p>
        </w:tc>
      </w:tr>
    </w:tbl>
    <w:p/>
    <w:p>
      <w:pPr>
        <w:pStyle w:val="Heading3"/>
        <w:spacing w:after="80" w:before="240"/>
      </w:pPr>
      <w:r>
        <w:t xml:space="preserve">5.1.3  Client Secret</w:t>
      </w:r>
    </w:p>
    <w:p>
      <w:pPr>
        <w:spacing w:after="60" w:before="60"/>
        <w:jc w:val="left"/>
      </w:pPr>
      <w:r>
        <w:rPr>
          <w:b w:val="false"/>
          <w:bCs w:val="false"/>
          <w:i w:val="false"/>
          <w:iCs w:val="false"/>
          <w:color w:val="000000"/>
          <w:sz w:val="20"/>
          <w:szCs w:val="20"/>
        </w:rPr>
        <w:t xml:space="preserve">A client secret is generated per environment under Certificates &amp; Secrets. Each secret is stored in the corresponding Key Vault under the key AzureAd--ClientSecret (double-dash notation for nested config mapping).</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left w:val="single" w:color="B71C1C" w:sz="16"/>
              <w:bottom w:val="none"/>
              <w:right w:val="none"/>
            </w:tcBorders>
            <w:shd w:fill="FFEBEE" w:val="clear"/>
            <w:tcMar>
              <w:top w:type="dxa" w:w="80"/>
              <w:left w:type="dxa" w:w="140"/>
              <w:bottom w:type="dxa" w:w="80"/>
              <w:right w:type="dxa" w:w="80"/>
            </w:tcMar>
          </w:tcPr>
          <w:p>
            <w:pPr>
              <w:spacing w:after="40" w:before="0"/>
            </w:pPr>
            <w:r>
              <w:rPr>
                <w:b/>
                <w:bCs/>
                <w:color w:val="B71C1C"/>
                <w:sz w:val="20"/>
                <w:szCs w:val="20"/>
              </w:rPr>
              <w:t xml:space="preserve">Admin Consent Requirement</w:t>
            </w:r>
          </w:p>
          <w:p>
            <w:pPr>
              <w:spacing w:after="0" w:before="0"/>
            </w:pPr>
            <w:r>
              <w:rPr>
                <w:color w:val="424242"/>
                <w:sz w:val="19"/>
                <w:szCs w:val="19"/>
              </w:rPr>
              <w:t xml:space="preserve">GroupMember.Read.All and Directory.Read.All require a Global Administrator or Privileged Role Administrator to grant tenant-wide admin consent in Azure Portal → App Registrations → intervention-ui → API Permissions → Grant admin consent. Without this, Graph API calls for group membership will return 403 Forbidden.</w:t>
            </w:r>
          </w:p>
        </w:tc>
      </w:tr>
    </w:tbl>
    <w:p/>
    <w:p>
      <w:pPr>
        <w:pStyle w:val="Heading2"/>
        <w:spacing w:after="120" w:before="320"/>
      </w:pPr>
      <w:r>
        <w:t xml:space="preserve">5.2  API App Registration  —  intervention-api</w:t>
      </w:r>
    </w:p>
    <w:p>
      <w:pPr>
        <w:spacing w:after="60" w:before="60"/>
        <w:jc w:val="left"/>
      </w:pPr>
      <w:r>
        <w:rPr>
          <w:b w:val="false"/>
          <w:bCs w:val="false"/>
          <w:i w:val="false"/>
          <w:iCs w:val="false"/>
          <w:color w:val="000000"/>
          <w:sz w:val="20"/>
          <w:szCs w:val="20"/>
        </w:rPr>
        <w:t xml:space="preserve">The API registration acts as a resource server. It exposes a custom OAuth 2.0 scope that the UI requests when acquiring tokens to call the IMP API.</w:t>
      </w:r>
    </w:p>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2500"/>
        <w:gridCol w:w="7000"/>
      </w:tblGrid>
      <w:tr>
        <w:trPr>
          <w:tblHeader/>
        </w:trPr>
        <w:tc>
          <w:tcPr>
            <w:tcW w:type="dxa" w:w="2500"/>
            <w:shd w:fill="0D2B5C" w:val="clear"/>
            <w:tcMar>
              <w:top w:type="dxa" w:w="60"/>
              <w:left w:type="dxa" w:w="100"/>
              <w:bottom w:type="dxa" w:w="60"/>
              <w:right w:type="dxa" w:w="60"/>
            </w:tcMar>
          </w:tcPr>
          <w:p>
            <w:r>
              <w:rPr>
                <w:b/>
                <w:bCs/>
                <w:color w:val="FFFFFF"/>
                <w:sz w:val="18"/>
                <w:szCs w:val="18"/>
              </w:rPr>
              <w:t xml:space="preserve">Field</w:t>
            </w:r>
          </w:p>
        </w:tc>
        <w:tc>
          <w:tcPr>
            <w:tcW w:type="dxa" w:w="7000"/>
            <w:shd w:fill="0D2B5C" w:val="clear"/>
            <w:tcMar>
              <w:top w:type="dxa" w:w="60"/>
              <w:left w:type="dxa" w:w="100"/>
              <w:bottom w:type="dxa" w:w="60"/>
              <w:right w:type="dxa" w:w="60"/>
            </w:tcMar>
          </w:tcPr>
          <w:p>
            <w:r>
              <w:rPr>
                <w:b/>
                <w:bCs/>
                <w:color w:val="FFFFFF"/>
                <w:sz w:val="18"/>
                <w:szCs w:val="18"/>
              </w:rPr>
              <w:t xml:space="preserve">Value</w:t>
            </w:r>
          </w:p>
        </w:tc>
      </w:tr>
      <w:tr>
        <w:tc>
          <w:tcPr>
            <w:tcW w:type="dxa" w:w="2500"/>
            <w:shd w:fill="FFFFFF" w:val="clear"/>
            <w:tcMar>
              <w:top w:type="dxa" w:w="60"/>
              <w:left w:type="dxa" w:w="100"/>
              <w:bottom w:type="dxa" w:w="60"/>
              <w:right w:type="dxa" w:w="60"/>
            </w:tcMar>
          </w:tcPr>
          <w:p>
            <w:r>
              <w:rPr>
                <w:color w:val="000000"/>
                <w:sz w:val="18"/>
                <w:szCs w:val="18"/>
              </w:rPr>
              <w:t xml:space="preserve">Registration Name</w:t>
            </w:r>
          </w:p>
        </w:tc>
        <w:tc>
          <w:tcPr>
            <w:tcW w:type="dxa" w:w="7000"/>
            <w:shd w:fill="FFFFFF" w:val="clear"/>
            <w:tcMar>
              <w:top w:type="dxa" w:w="60"/>
              <w:left w:type="dxa" w:w="100"/>
              <w:bottom w:type="dxa" w:w="60"/>
              <w:right w:type="dxa" w:w="60"/>
            </w:tcMar>
          </w:tcPr>
          <w:p>
            <w:r>
              <w:rPr>
                <w:color w:val="000000"/>
                <w:sz w:val="18"/>
                <w:szCs w:val="18"/>
              </w:rPr>
              <w:t xml:space="preserve">intervention-api</w:t>
            </w:r>
          </w:p>
        </w:tc>
      </w:tr>
      <w:tr>
        <w:tc>
          <w:tcPr>
            <w:tcW w:type="dxa" w:w="2500"/>
            <w:shd w:fill="F5F5F5" w:val="clear"/>
            <w:tcMar>
              <w:top w:type="dxa" w:w="60"/>
              <w:left w:type="dxa" w:w="100"/>
              <w:bottom w:type="dxa" w:w="60"/>
              <w:right w:type="dxa" w:w="60"/>
            </w:tcMar>
          </w:tcPr>
          <w:p>
            <w:r>
              <w:rPr>
                <w:color w:val="000000"/>
                <w:sz w:val="18"/>
                <w:szCs w:val="18"/>
              </w:rPr>
              <w:t xml:space="preserve">Application (Client) ID</w:t>
            </w:r>
          </w:p>
        </w:tc>
        <w:tc>
          <w:tcPr>
            <w:tcW w:type="dxa" w:w="7000"/>
            <w:shd w:fill="F5F5F5" w:val="clear"/>
            <w:tcMar>
              <w:top w:type="dxa" w:w="60"/>
              <w:left w:type="dxa" w:w="100"/>
              <w:bottom w:type="dxa" w:w="60"/>
              <w:right w:type="dxa" w:w="60"/>
            </w:tcMar>
          </w:tcPr>
          <w:p>
            <w:r>
              <w:rPr>
                <w:color w:val="000000"/>
                <w:sz w:val="18"/>
                <w:szCs w:val="18"/>
              </w:rPr>
              <w:t xml:space="preserve">&lt;API_CLIENT_ID&gt;  — used as Audience in JWT validation</w:t>
            </w:r>
          </w:p>
        </w:tc>
      </w:tr>
      <w:tr>
        <w:tc>
          <w:tcPr>
            <w:tcW w:type="dxa" w:w="2500"/>
            <w:shd w:fill="FFFFFF" w:val="clear"/>
            <w:tcMar>
              <w:top w:type="dxa" w:w="60"/>
              <w:left w:type="dxa" w:w="100"/>
              <w:bottom w:type="dxa" w:w="60"/>
              <w:right w:type="dxa" w:w="60"/>
            </w:tcMar>
          </w:tcPr>
          <w:p>
            <w:r>
              <w:rPr>
                <w:color w:val="000000"/>
                <w:sz w:val="18"/>
                <w:szCs w:val="18"/>
              </w:rPr>
              <w:t xml:space="preserve">Directory (Tenant) ID</w:t>
            </w:r>
          </w:p>
        </w:tc>
        <w:tc>
          <w:tcPr>
            <w:tcW w:type="dxa" w:w="7000"/>
            <w:shd w:fill="FFFFFF" w:val="clear"/>
            <w:tcMar>
              <w:top w:type="dxa" w:w="60"/>
              <w:left w:type="dxa" w:w="100"/>
              <w:bottom w:type="dxa" w:w="60"/>
              <w:right w:type="dxa" w:w="60"/>
            </w:tcMar>
          </w:tcPr>
          <w:p>
            <w:r>
              <w:rPr>
                <w:color w:val="000000"/>
                <w:sz w:val="18"/>
                <w:szCs w:val="18"/>
              </w:rPr>
              <w:t xml:space="preserve">&lt;TENANT_ID&gt;  — same as UI registration</w:t>
            </w:r>
          </w:p>
        </w:tc>
      </w:tr>
      <w:tr>
        <w:tc>
          <w:tcPr>
            <w:tcW w:type="dxa" w:w="2500"/>
            <w:shd w:fill="F5F5F5" w:val="clear"/>
            <w:tcMar>
              <w:top w:type="dxa" w:w="60"/>
              <w:left w:type="dxa" w:w="100"/>
              <w:bottom w:type="dxa" w:w="60"/>
              <w:right w:type="dxa" w:w="60"/>
            </w:tcMar>
          </w:tcPr>
          <w:p>
            <w:r>
              <w:rPr>
                <w:color w:val="000000"/>
                <w:sz w:val="18"/>
                <w:szCs w:val="18"/>
              </w:rPr>
              <w:t xml:space="preserve">Application ID URI</w:t>
            </w:r>
          </w:p>
        </w:tc>
        <w:tc>
          <w:tcPr>
            <w:tcW w:type="dxa" w:w="7000"/>
            <w:shd w:fill="F5F5F5" w:val="clear"/>
            <w:tcMar>
              <w:top w:type="dxa" w:w="60"/>
              <w:left w:type="dxa" w:w="100"/>
              <w:bottom w:type="dxa" w:w="60"/>
              <w:right w:type="dxa" w:w="60"/>
            </w:tcMar>
          </w:tcPr>
          <w:p>
            <w:r>
              <w:rPr>
                <w:color w:val="000000"/>
                <w:sz w:val="18"/>
                <w:szCs w:val="18"/>
              </w:rPr>
              <w:t xml:space="preserve">api://&lt;API_CLIENT_ID&gt;  — set under Expose an API</w:t>
            </w:r>
          </w:p>
        </w:tc>
      </w:tr>
      <w:tr>
        <w:tc>
          <w:tcPr>
            <w:tcW w:type="dxa" w:w="2500"/>
            <w:shd w:fill="FFFFFF" w:val="clear"/>
            <w:tcMar>
              <w:top w:type="dxa" w:w="60"/>
              <w:left w:type="dxa" w:w="100"/>
              <w:bottom w:type="dxa" w:w="60"/>
              <w:right w:type="dxa" w:w="60"/>
            </w:tcMar>
          </w:tcPr>
          <w:p>
            <w:r>
              <w:rPr>
                <w:color w:val="000000"/>
                <w:sz w:val="18"/>
                <w:szCs w:val="18"/>
              </w:rPr>
              <w:t xml:space="preserve">Exposed Scope</w:t>
            </w:r>
          </w:p>
        </w:tc>
        <w:tc>
          <w:tcPr>
            <w:tcW w:type="dxa" w:w="7000"/>
            <w:shd w:fill="FFFFFF" w:val="clear"/>
            <w:tcMar>
              <w:top w:type="dxa" w:w="60"/>
              <w:left w:type="dxa" w:w="100"/>
              <w:bottom w:type="dxa" w:w="60"/>
              <w:right w:type="dxa" w:w="60"/>
            </w:tcMar>
          </w:tcPr>
          <w:p>
            <w:r>
              <w:rPr>
                <w:color w:val="000000"/>
                <w:sz w:val="18"/>
                <w:szCs w:val="18"/>
              </w:rPr>
              <w:t xml:space="preserve">access_as_user  — full URI: api://&lt;API_CLIENT_ID&gt;/access_as_user</w:t>
            </w:r>
          </w:p>
        </w:tc>
      </w:tr>
      <w:tr>
        <w:tc>
          <w:tcPr>
            <w:tcW w:type="dxa" w:w="2500"/>
            <w:shd w:fill="F5F5F5" w:val="clear"/>
            <w:tcMar>
              <w:top w:type="dxa" w:w="60"/>
              <w:left w:type="dxa" w:w="100"/>
              <w:bottom w:type="dxa" w:w="60"/>
              <w:right w:type="dxa" w:w="60"/>
            </w:tcMar>
          </w:tcPr>
          <w:p>
            <w:r>
              <w:rPr>
                <w:color w:val="000000"/>
                <w:sz w:val="18"/>
                <w:szCs w:val="18"/>
              </w:rPr>
              <w:t xml:space="preserve">Authorised Client Applications</w:t>
            </w:r>
          </w:p>
        </w:tc>
        <w:tc>
          <w:tcPr>
            <w:tcW w:type="dxa" w:w="7000"/>
            <w:shd w:fill="F5F5F5" w:val="clear"/>
            <w:tcMar>
              <w:top w:type="dxa" w:w="60"/>
              <w:left w:type="dxa" w:w="100"/>
              <w:bottom w:type="dxa" w:w="60"/>
              <w:right w:type="dxa" w:w="60"/>
            </w:tcMar>
          </w:tcPr>
          <w:p>
            <w:r>
              <w:rPr>
                <w:color w:val="000000"/>
                <w:sz w:val="18"/>
                <w:szCs w:val="18"/>
              </w:rPr>
              <w:t xml:space="preserve">Add UI Client ID (&lt;UI_CLIENT_ID&gt;) with access_as_user scope pre-consented</w:t>
            </w:r>
          </w:p>
        </w:tc>
      </w:tr>
      <w:tr>
        <w:tc>
          <w:tcPr>
            <w:tcW w:type="dxa" w:w="2500"/>
            <w:shd w:fill="FFFFFF" w:val="clear"/>
            <w:tcMar>
              <w:top w:type="dxa" w:w="60"/>
              <w:left w:type="dxa" w:w="100"/>
              <w:bottom w:type="dxa" w:w="60"/>
              <w:right w:type="dxa" w:w="60"/>
            </w:tcMar>
          </w:tcPr>
          <w:p>
            <w:r>
              <w:rPr>
                <w:color w:val="000000"/>
                <w:sz w:val="18"/>
                <w:szCs w:val="18"/>
              </w:rPr>
              <w:t xml:space="preserve">Redirect URIs</w:t>
            </w:r>
          </w:p>
        </w:tc>
        <w:tc>
          <w:tcPr>
            <w:tcW w:type="dxa" w:w="7000"/>
            <w:shd w:fill="FFFFFF" w:val="clear"/>
            <w:tcMar>
              <w:top w:type="dxa" w:w="60"/>
              <w:left w:type="dxa" w:w="100"/>
              <w:bottom w:type="dxa" w:w="60"/>
              <w:right w:type="dxa" w:w="60"/>
            </w:tcMar>
          </w:tcPr>
          <w:p>
            <w:r>
              <w:rPr>
                <w:color w:val="000000"/>
                <w:sz w:val="18"/>
                <w:szCs w:val="18"/>
              </w:rPr>
              <w:t xml:space="preserve">None — API is a stateless resource server, not a web app</w:t>
            </w:r>
          </w:p>
        </w:tc>
      </w:tr>
      <w:tr>
        <w:tc>
          <w:tcPr>
            <w:tcW w:type="dxa" w:w="2500"/>
            <w:shd w:fill="F5F5F5" w:val="clear"/>
            <w:tcMar>
              <w:top w:type="dxa" w:w="60"/>
              <w:left w:type="dxa" w:w="100"/>
              <w:bottom w:type="dxa" w:w="60"/>
              <w:right w:type="dxa" w:w="60"/>
            </w:tcMar>
          </w:tcPr>
          <w:p>
            <w:r>
              <w:rPr>
                <w:color w:val="000000"/>
                <w:sz w:val="18"/>
                <w:szCs w:val="18"/>
              </w:rPr>
              <w:t xml:space="preserve">Client Secret</w:t>
            </w:r>
          </w:p>
        </w:tc>
        <w:tc>
          <w:tcPr>
            <w:tcW w:type="dxa" w:w="7000"/>
            <w:shd w:fill="F5F5F5" w:val="clear"/>
            <w:tcMar>
              <w:top w:type="dxa" w:w="60"/>
              <w:left w:type="dxa" w:w="100"/>
              <w:bottom w:type="dxa" w:w="60"/>
              <w:right w:type="dxa" w:w="60"/>
            </w:tcMar>
          </w:tcPr>
          <w:p>
            <w:r>
              <w:rPr>
                <w:color w:val="000000"/>
                <w:sz w:val="18"/>
                <w:szCs w:val="18"/>
              </w:rPr>
              <w:t xml:space="preserve">Not required for API-only registrations using JWT Bearer validation</w:t>
            </w:r>
          </w:p>
        </w:tc>
      </w:tr>
    </w:tbl>
    <w:p/>
    <w:p>
      <w:pPr>
        <w:pStyle w:val="Heading3"/>
        <w:spacing w:after="80" w:before="240"/>
      </w:pPr>
      <w:r>
        <w:t xml:space="preserve">5.2.1  JWT Audience Validation</w:t>
      </w:r>
    </w:p>
    <w:p>
      <w:pPr>
        <w:spacing w:after="60" w:before="60"/>
        <w:jc w:val="left"/>
      </w:pPr>
      <w:r>
        <w:rPr>
          <w:b w:val="false"/>
          <w:bCs w:val="false"/>
          <w:i w:val="false"/>
          <w:iCs w:val="false"/>
          <w:color w:val="000000"/>
          <w:sz w:val="20"/>
          <w:szCs w:val="20"/>
        </w:rPr>
        <w:t xml:space="preserve">The API validates that incoming JWT Bearer tokens contain the correct audience claim. Configuration in appsettings:</w:t>
      </w:r>
    </w:p>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appsettings.json — API project</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"AzureAd":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"Instance":  "https://login.microsoftonline.com/",</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"TenantId":  "&lt;TENANT_ID&gt;",</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"ClientId":  "&lt;API_CLIENT_ID&gt;",</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"Audience":  "api://&lt;API_CLIENT_ID&gt;"</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w:t>
      </w:r>
    </w:p>
    <w:p>
      <w:r>
        <w:br w:type="page"/>
      </w:r>
    </w:p>
    <w:tbl>
      <w:tblPr>
        <w:tblW w:type="pct" w:w="100%"/>
        <w:tblBorders>
          <w:top w:val="none"/>
          <w:left w:val="none"/>
          <w:bottom w:val="none"/>
          <w:right w:val="none"/>
          <w:insideH w:val="single" w:color="auto" w:sz="4"/>
          <w:insideV w:val="single" w:color="auto" w:sz="4"/>
        </w:tblBorders>
      </w:tblPr>
      <w:tblGrid>
        <w:gridCol w:w="1200"/>
        <w:gridCol w:w="8300"/>
      </w:tblGrid>
      <w:tr>
        <w:tc>
          <w:tcPr>
            <w:tcW w:type="dxa" w:w="1200"/>
            <w:shd w:fill="0D2B5C" w:val="clear"/>
            <w:tcMar>
              <w:top w:type="dxa" w:w="100"/>
              <w:left w:type="dxa" w:w="120"/>
              <w:bottom w:type="dxa" w:w="100"/>
              <w:right w:type="dxa" w:w="60"/>
            </w:tcMar>
            <w:vAlign w:val="center"/>
          </w:tcPr>
          <w:p>
            <w:pPr>
              <w:jc w:val="center"/>
            </w:pPr>
            <w:r>
              <w:rPr>
                <w:rFonts w:ascii="Calibri" w:cs="Calibri" w:eastAsia="Calibri" w:hAnsi="Calibri"/>
                <w:b/>
                <w:bCs/>
                <w:color w:val="FFFFFF"/>
                <w:sz w:val="32"/>
                <w:szCs w:val="32"/>
              </w:rPr>
              <w:t xml:space="preserve">§6</w:t>
            </w:r>
          </w:p>
        </w:tc>
        <w:tc>
          <w:tcPr>
            <w:tcW w:type="dxa" w:w="8300"/>
            <w:shd w:fill="E3EEF9" w:val="clear"/>
            <w:tcMar>
              <w:top w:type="dxa" w:w="80"/>
              <w:left w:type="dxa" w:w="160"/>
              <w:bottom w:type="dxa" w:w="80"/>
              <w:right w:type="dxa" w:w="80"/>
            </w:tcMar>
          </w:tcPr>
          <w:p>
            <w:pPr>
              <w:spacing w:after="40" w:before="0"/>
            </w:pPr>
            <w:r>
              <w:rPr>
                <w:rFonts w:ascii="Calibri" w:cs="Calibri" w:eastAsia="Calibri" w:hAnsi="Calibri"/>
                <w:b/>
                <w:bCs/>
                <w:color w:val="0D2B5C"/>
                <w:sz w:val="26"/>
                <w:szCs w:val="26"/>
              </w:rPr>
              <w:t xml:space="preserve">Database Architecture  —  RBAC Schema</w:t>
            </w:r>
          </w:p>
          <w:p>
            <w:pPr>
              <w:spacing w:after="0" w:before="0"/>
            </w:pPr>
            <w:r>
              <w:rPr>
                <w:i/>
                <w:iCs/>
                <w:color w:val="006DA3"/>
                <w:sz w:val="18"/>
                <w:szCs w:val="18"/>
              </w:rPr>
              <w:t xml:space="preserve">Table definitions, data dictionary, and foreign key relationships</w:t>
            </w:r>
          </w:p>
        </w:tc>
      </w:tr>
    </w:tbl>
    <w:p/>
    <w:p>
      <w:pPr>
        <w:pStyle w:val="Heading2"/>
        <w:spacing w:after="120" w:before="320"/>
      </w:pPr>
      <w:r>
        <w:t xml:space="preserve">6.1  Schema Overview</w:t>
      </w:r>
    </w:p>
    <w:p>
      <w:pPr>
        <w:spacing w:after="60" w:before="60"/>
        <w:jc w:val="left"/>
      </w:pPr>
      <w:r>
        <w:rPr>
          <w:b w:val="false"/>
          <w:bCs w:val="false"/>
          <w:i w:val="false"/>
          <w:iCs w:val="false"/>
          <w:color w:val="000000"/>
          <w:sz w:val="20"/>
          <w:szCs w:val="20"/>
        </w:rPr>
        <w:t xml:space="preserve">The RBAC model resides in the [IMT] SQL Server schema. The schema uses strict foreign key constraints with cascade-delete to prevent orphan access records.</w:t>
      </w:r>
    </w:p>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[IMT].[UM_Users]          ← Core user accounts; AzureAdObjectId links to Entra ID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[IMT].[UM_UserRoles]      ← Intersection: User ↔ Role (multi-role support)</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[IMT].[UM_Roles]          ← Role master: ADMIN, APPROVER, SITEMANAGER, REQUESTER, DEVELOPER</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[IMT].[UM_RolePermissions]← Intersection: Role ↔ Permission</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[IMT].[UM_Permissions]    ← Permission master: 30-35 granular permission codes</w:t>
      </w:r>
    </w:p>
    <w:p/>
    <w:p>
      <w:pPr>
        <w:pStyle w:val="Heading2"/>
        <w:spacing w:after="120" w:before="320"/>
      </w:pPr>
      <w:r>
        <w:t xml:space="preserve">6.2  Table Definitions</w:t>
      </w:r>
    </w:p>
    <w:p>
      <w:pPr>
        <w:pStyle w:val="Heading3"/>
        <w:spacing w:after="80" w:before="240"/>
      </w:pPr>
      <w:r>
        <w:t xml:space="preserve">6.2.1  [IMT].[UM_Users]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600"/>
        <w:gridCol w:w="1400"/>
        <w:gridCol w:w="1400"/>
        <w:gridCol w:w="1400"/>
        <w:gridCol w:w="3700"/>
      </w:tblGrid>
      <w:tr>
        <w:trPr>
          <w:tblHeader/>
        </w:trPr>
        <w:tc>
          <w:tcPr>
            <w:tcW w:type="dxa" w:w="1600"/>
            <w:shd w:fill="0D2B5C" w:val="clear"/>
            <w:tcMar>
              <w:top w:type="dxa" w:w="60"/>
              <w:left w:type="dxa" w:w="100"/>
              <w:bottom w:type="dxa" w:w="60"/>
              <w:right w:type="dxa" w:w="60"/>
            </w:tcMar>
          </w:tcPr>
          <w:p>
            <w:r>
              <w:rPr>
                <w:b/>
                <w:bCs/>
                <w:color w:val="FFFFFF"/>
                <w:sz w:val="18"/>
                <w:szCs w:val="18"/>
              </w:rPr>
              <w:t xml:space="preserve">Column</w:t>
            </w:r>
          </w:p>
        </w:tc>
        <w:tc>
          <w:tcPr>
            <w:tcW w:type="dxa" w:w="1400"/>
            <w:shd w:fill="0D2B5C" w:val="clear"/>
            <w:tcMar>
              <w:top w:type="dxa" w:w="60"/>
              <w:left w:type="dxa" w:w="100"/>
              <w:bottom w:type="dxa" w:w="60"/>
              <w:right w:type="dxa" w:w="60"/>
            </w:tcMar>
          </w:tcPr>
          <w:p>
            <w:r>
              <w:rPr>
                <w:b/>
                <w:bCs/>
                <w:color w:val="FFFFFF"/>
                <w:sz w:val="18"/>
                <w:szCs w:val="18"/>
              </w:rPr>
              <w:t xml:space="preserve">Type</w:t>
            </w:r>
          </w:p>
        </w:tc>
        <w:tc>
          <w:tcPr>
            <w:tcW w:type="dxa" w:w="1400"/>
            <w:shd w:fill="0D2B5C" w:val="clear"/>
            <w:tcMar>
              <w:top w:type="dxa" w:w="60"/>
              <w:left w:type="dxa" w:w="100"/>
              <w:bottom w:type="dxa" w:w="60"/>
              <w:right w:type="dxa" w:w="60"/>
            </w:tcMar>
          </w:tcPr>
          <w:p>
            <w:r>
              <w:rPr>
                <w:b/>
                <w:bCs/>
                <w:color w:val="FFFFFF"/>
                <w:sz w:val="18"/>
                <w:szCs w:val="18"/>
              </w:rPr>
              <w:t xml:space="preserve">Nullable</w:t>
            </w:r>
          </w:p>
        </w:tc>
        <w:tc>
          <w:tcPr>
            <w:tcW w:type="dxa" w:w="1400"/>
            <w:shd w:fill="0D2B5C" w:val="clear"/>
            <w:tcMar>
              <w:top w:type="dxa" w:w="60"/>
              <w:left w:type="dxa" w:w="100"/>
              <w:bottom w:type="dxa" w:w="60"/>
              <w:right w:type="dxa" w:w="60"/>
            </w:tcMar>
          </w:tcPr>
          <w:p>
            <w:r>
              <w:rPr>
                <w:b/>
                <w:bCs/>
                <w:color w:val="FFFFFF"/>
                <w:sz w:val="18"/>
                <w:szCs w:val="18"/>
              </w:rPr>
              <w:t xml:space="preserve">Default</w:t>
            </w:r>
          </w:p>
        </w:tc>
        <w:tc>
          <w:tcPr>
            <w:tcW w:type="dxa" w:w="3700"/>
            <w:shd w:fill="0D2B5C" w:val="clear"/>
            <w:tcMar>
              <w:top w:type="dxa" w:w="60"/>
              <w:left w:type="dxa" w:w="100"/>
              <w:bottom w:type="dxa" w:w="60"/>
              <w:right w:type="dxa" w:w="60"/>
            </w:tcMar>
          </w:tcPr>
          <w:p>
            <w:r>
              <w:rPr>
                <w:b/>
                <w:bCs/>
                <w:color w:val="FFFFFF"/>
                <w:sz w:val="18"/>
                <w:szCs w:val="18"/>
              </w:rPr>
              <w:t xml:space="preserve">Purpose</w:t>
            </w:r>
          </w:p>
        </w:tc>
      </w:tr>
      <w:tr>
        <w:tc>
          <w:tcPr>
            <w:tcW w:type="dxa" w:w="1600"/>
            <w:shd w:fill="FFFFFF" w:val="clear"/>
            <w:tcMar>
              <w:top w:type="dxa" w:w="60"/>
              <w:left w:type="dxa" w:w="100"/>
              <w:bottom w:type="dxa" w:w="60"/>
              <w:right w:type="dxa" w:w="60"/>
            </w:tcMar>
          </w:tcPr>
          <w:p>
            <w:r>
              <w:rPr>
                <w:color w:val="000000"/>
                <w:sz w:val="18"/>
                <w:szCs w:val="18"/>
              </w:rPr>
              <w:t xml:space="preserve">UserId</w:t>
            </w:r>
          </w:p>
        </w:tc>
        <w:tc>
          <w:tcPr>
            <w:tcW w:type="dxa" w:w="1400"/>
            <w:shd w:fill="FFFFFF" w:val="clear"/>
            <w:tcMar>
              <w:top w:type="dxa" w:w="60"/>
              <w:left w:type="dxa" w:w="100"/>
              <w:bottom w:type="dxa" w:w="60"/>
              <w:right w:type="dxa" w:w="60"/>
            </w:tcMar>
          </w:tcPr>
          <w:p>
            <w:r>
              <w:rPr>
                <w:color w:val="000000"/>
                <w:sz w:val="18"/>
                <w:szCs w:val="18"/>
              </w:rPr>
              <w:t xml:space="preserve">INT</w:t>
            </w:r>
          </w:p>
        </w:tc>
        <w:tc>
          <w:tcPr>
            <w:tcW w:type="dxa" w:w="1400"/>
            <w:shd w:fill="FFFFFF" w:val="clear"/>
            <w:tcMar>
              <w:top w:type="dxa" w:w="60"/>
              <w:left w:type="dxa" w:w="100"/>
              <w:bottom w:type="dxa" w:w="60"/>
              <w:right w:type="dxa" w:w="60"/>
            </w:tcMar>
          </w:tcPr>
          <w:p>
            <w:r>
              <w:rPr>
                <w:color w:val="000000"/>
                <w:sz w:val="18"/>
                <w:szCs w:val="18"/>
              </w:rPr>
              <w:t xml:space="preserve">NOT NULL / PK</w:t>
            </w:r>
          </w:p>
        </w:tc>
        <w:tc>
          <w:tcPr>
            <w:tcW w:type="dxa" w:w="1400"/>
            <w:shd w:fill="FFFFFF" w:val="clear"/>
            <w:tcMar>
              <w:top w:type="dxa" w:w="60"/>
              <w:left w:type="dxa" w:w="100"/>
              <w:bottom w:type="dxa" w:w="60"/>
              <w:right w:type="dxa" w:w="60"/>
            </w:tcMar>
          </w:tcPr>
          <w:p>
            <w:r>
              <w:rPr>
                <w:color w:val="000000"/>
                <w:sz w:val="18"/>
                <w:szCs w:val="18"/>
              </w:rPr>
              <w:t xml:space="preserve">Identity(1,1)</w:t>
            </w:r>
          </w:p>
        </w:tc>
        <w:tc>
          <w:tcPr>
            <w:tcW w:type="dxa" w:w="3700"/>
            <w:shd w:fill="FFFFFF" w:val="clear"/>
            <w:tcMar>
              <w:top w:type="dxa" w:w="60"/>
              <w:left w:type="dxa" w:w="100"/>
              <w:bottom w:type="dxa" w:w="60"/>
              <w:right w:type="dxa" w:w="60"/>
            </w:tcMar>
          </w:tcPr>
          <w:p>
            <w:r>
              <w:rPr>
                <w:color w:val="000000"/>
                <w:sz w:val="18"/>
                <w:szCs w:val="18"/>
              </w:rPr>
              <w:t xml:space="preserve">Internal primary key for all DB relations</w:t>
            </w:r>
          </w:p>
        </w:tc>
      </w:tr>
      <w:tr>
        <w:tc>
          <w:tcPr>
            <w:tcW w:type="dxa" w:w="1600"/>
            <w:shd w:fill="F5F5F5" w:val="clear"/>
            <w:tcMar>
              <w:top w:type="dxa" w:w="60"/>
              <w:left w:type="dxa" w:w="100"/>
              <w:bottom w:type="dxa" w:w="60"/>
              <w:right w:type="dxa" w:w="60"/>
            </w:tcMar>
          </w:tcPr>
          <w:p>
            <w:r>
              <w:rPr>
                <w:color w:val="000000"/>
                <w:sz w:val="18"/>
                <w:szCs w:val="18"/>
              </w:rPr>
              <w:t xml:space="preserve">AzureAdObjectId</w:t>
            </w:r>
          </w:p>
        </w:tc>
        <w:tc>
          <w:tcPr>
            <w:tcW w:type="dxa" w:w="1400"/>
            <w:shd w:fill="F5F5F5" w:val="clear"/>
            <w:tcMar>
              <w:top w:type="dxa" w:w="60"/>
              <w:left w:type="dxa" w:w="100"/>
              <w:bottom w:type="dxa" w:w="60"/>
              <w:right w:type="dxa" w:w="60"/>
            </w:tcMar>
          </w:tcPr>
          <w:p>
            <w:r>
              <w:rPr>
                <w:color w:val="000000"/>
                <w:sz w:val="18"/>
                <w:szCs w:val="18"/>
              </w:rPr>
              <w:t xml:space="preserve">VARCHAR(250)</w:t>
            </w:r>
          </w:p>
        </w:tc>
        <w:tc>
          <w:tcPr>
            <w:tcW w:type="dxa" w:w="1400"/>
            <w:shd w:fill="F5F5F5" w:val="clear"/>
            <w:tcMar>
              <w:top w:type="dxa" w:w="60"/>
              <w:left w:type="dxa" w:w="100"/>
              <w:bottom w:type="dxa" w:w="60"/>
              <w:right w:type="dxa" w:w="60"/>
            </w:tcMar>
          </w:tcPr>
          <w:p>
            <w:r>
              <w:rPr>
                <w:color w:val="000000"/>
                <w:sz w:val="18"/>
                <w:szCs w:val="18"/>
              </w:rPr>
              <w:t xml:space="preserve">NULL / Unique</w:t>
            </w:r>
          </w:p>
        </w:tc>
        <w:tc>
          <w:tcPr>
            <w:tcW w:type="dxa" w:w="1400"/>
            <w:shd w:fill="F5F5F5" w:val="clear"/>
            <w:tcMar>
              <w:top w:type="dxa" w:w="60"/>
              <w:left w:type="dxa" w:w="100"/>
              <w:bottom w:type="dxa" w:w="60"/>
              <w:right w:type="dxa" w:w="60"/>
            </w:tcMar>
          </w:tcPr>
          <w:p>
            <w:r>
              <w:rPr>
                <w:color w:val="000000"/>
                <w:sz w:val="18"/>
                <w:szCs w:val="18"/>
              </w:rPr>
              <w:t xml:space="preserve">NULL</w:t>
            </w:r>
          </w:p>
        </w:tc>
        <w:tc>
          <w:tcPr>
            <w:tcW w:type="dxa" w:w="3700"/>
            <w:shd w:fill="F5F5F5" w:val="clear"/>
            <w:tcMar>
              <w:top w:type="dxa" w:w="60"/>
              <w:left w:type="dxa" w:w="100"/>
              <w:bottom w:type="dxa" w:w="60"/>
              <w:right w:type="dxa" w:w="60"/>
            </w:tcMar>
          </w:tcPr>
          <w:p>
            <w:r>
              <w:rPr>
                <w:color w:val="000000"/>
                <w:sz w:val="18"/>
                <w:szCs w:val="18"/>
              </w:rPr>
              <w:t xml:space="preserve">Entra ID oid GUID. Populated on first SSO login. Case-insensitive search.</w:t>
            </w:r>
          </w:p>
        </w:tc>
      </w:tr>
      <w:tr>
        <w:tc>
          <w:tcPr>
            <w:tcW w:type="dxa" w:w="1600"/>
            <w:shd w:fill="FFFFFF" w:val="clear"/>
            <w:tcMar>
              <w:top w:type="dxa" w:w="60"/>
              <w:left w:type="dxa" w:w="100"/>
              <w:bottom w:type="dxa" w:w="60"/>
              <w:right w:type="dxa" w:w="60"/>
            </w:tcMar>
          </w:tcPr>
          <w:p>
            <w:r>
              <w:rPr>
                <w:color w:val="000000"/>
                <w:sz w:val="18"/>
                <w:szCs w:val="18"/>
              </w:rPr>
              <w:t xml:space="preserve">Username</w:t>
            </w:r>
          </w:p>
        </w:tc>
        <w:tc>
          <w:tcPr>
            <w:tcW w:type="dxa" w:w="1400"/>
            <w:shd w:fill="FFFFFF" w:val="clear"/>
            <w:tcMar>
              <w:top w:type="dxa" w:w="60"/>
              <w:left w:type="dxa" w:w="100"/>
              <w:bottom w:type="dxa" w:w="60"/>
              <w:right w:type="dxa" w:w="60"/>
            </w:tcMar>
          </w:tcPr>
          <w:p>
            <w:r>
              <w:rPr>
                <w:color w:val="000000"/>
                <w:sz w:val="18"/>
                <w:szCs w:val="18"/>
              </w:rPr>
              <w:t xml:space="preserve">VARCHAR(150)</w:t>
            </w:r>
          </w:p>
        </w:tc>
        <w:tc>
          <w:tcPr>
            <w:tcW w:type="dxa" w:w="1400"/>
            <w:shd w:fill="FFFFFF" w:val="clear"/>
            <w:tcMar>
              <w:top w:type="dxa" w:w="60"/>
              <w:left w:type="dxa" w:w="100"/>
              <w:bottom w:type="dxa" w:w="60"/>
              <w:right w:type="dxa" w:w="60"/>
            </w:tcMar>
          </w:tcPr>
          <w:p>
            <w:r>
              <w:rPr>
                <w:color w:val="000000"/>
                <w:sz w:val="18"/>
                <w:szCs w:val="18"/>
              </w:rPr>
              <w:t xml:space="preserve">NOT NULL</w:t>
            </w:r>
          </w:p>
        </w:tc>
        <w:tc>
          <w:tcPr>
            <w:tcW w:type="dxa" w:w="1400"/>
            <w:shd w:fill="FFFFFF" w:val="clear"/>
            <w:tcMar>
              <w:top w:type="dxa" w:w="60"/>
              <w:left w:type="dxa" w:w="100"/>
              <w:bottom w:type="dxa" w:w="60"/>
              <w:right w:type="dxa" w:w="60"/>
            </w:tcMar>
          </w:tcPr>
          <w:p>
            <w:r>
              <w:rPr>
                <w:color w:val="000000"/>
                <w:sz w:val="18"/>
                <w:szCs w:val="18"/>
              </w:rPr>
              <w:t xml:space="preserve">—</w:t>
            </w:r>
          </w:p>
        </w:tc>
        <w:tc>
          <w:tcPr>
            <w:tcW w:type="dxa" w:w="3700"/>
            <w:shd w:fill="FFFFFF" w:val="clear"/>
            <w:tcMar>
              <w:top w:type="dxa" w:w="60"/>
              <w:left w:type="dxa" w:w="100"/>
              <w:bottom w:type="dxa" w:w="60"/>
              <w:right w:type="dxa" w:w="60"/>
            </w:tcMar>
          </w:tcPr>
          <w:p>
            <w:r>
              <w:rPr>
                <w:color w:val="000000"/>
                <w:sz w:val="18"/>
                <w:szCs w:val="18"/>
              </w:rPr>
              <w:t xml:space="preserve">Pre-@ email prefix for legacy system alignment</w:t>
            </w:r>
          </w:p>
        </w:tc>
      </w:tr>
      <w:tr>
        <w:tc>
          <w:tcPr>
            <w:tcW w:type="dxa" w:w="1600"/>
            <w:shd w:fill="F5F5F5" w:val="clear"/>
            <w:tcMar>
              <w:top w:type="dxa" w:w="60"/>
              <w:left w:type="dxa" w:w="100"/>
              <w:bottom w:type="dxa" w:w="60"/>
              <w:right w:type="dxa" w:w="60"/>
            </w:tcMar>
          </w:tcPr>
          <w:p>
            <w:r>
              <w:rPr>
                <w:color w:val="000000"/>
                <w:sz w:val="18"/>
                <w:szCs w:val="18"/>
              </w:rPr>
              <w:t xml:space="preserve">Email</w:t>
            </w:r>
          </w:p>
        </w:tc>
        <w:tc>
          <w:tcPr>
            <w:tcW w:type="dxa" w:w="1400"/>
            <w:shd w:fill="F5F5F5" w:val="clear"/>
            <w:tcMar>
              <w:top w:type="dxa" w:w="60"/>
              <w:left w:type="dxa" w:w="100"/>
              <w:bottom w:type="dxa" w:w="60"/>
              <w:right w:type="dxa" w:w="60"/>
            </w:tcMar>
          </w:tcPr>
          <w:p>
            <w:r>
              <w:rPr>
                <w:color w:val="000000"/>
                <w:sz w:val="18"/>
                <w:szCs w:val="18"/>
              </w:rPr>
              <w:t xml:space="preserve">VARCHAR(150)</w:t>
            </w:r>
          </w:p>
        </w:tc>
        <w:tc>
          <w:tcPr>
            <w:tcW w:type="dxa" w:w="1400"/>
            <w:shd w:fill="F5F5F5" w:val="clear"/>
            <w:tcMar>
              <w:top w:type="dxa" w:w="60"/>
              <w:left w:type="dxa" w:w="100"/>
              <w:bottom w:type="dxa" w:w="60"/>
              <w:right w:type="dxa" w:w="60"/>
            </w:tcMar>
          </w:tcPr>
          <w:p>
            <w:r>
              <w:rPr>
                <w:color w:val="000000"/>
                <w:sz w:val="18"/>
                <w:szCs w:val="18"/>
              </w:rPr>
              <w:t xml:space="preserve">NOT NULL / Unique</w:t>
            </w:r>
          </w:p>
        </w:tc>
        <w:tc>
          <w:tcPr>
            <w:tcW w:type="dxa" w:w="1400"/>
            <w:shd w:fill="F5F5F5" w:val="clear"/>
            <w:tcMar>
              <w:top w:type="dxa" w:w="60"/>
              <w:left w:type="dxa" w:w="100"/>
              <w:bottom w:type="dxa" w:w="60"/>
              <w:right w:type="dxa" w:w="60"/>
            </w:tcMar>
          </w:tcPr>
          <w:p>
            <w:r>
              <w:rPr>
                <w:color w:val="000000"/>
                <w:sz w:val="18"/>
                <w:szCs w:val="18"/>
              </w:rPr>
              <w:t xml:space="preserve">—</w:t>
            </w:r>
          </w:p>
        </w:tc>
        <w:tc>
          <w:tcPr>
            <w:tcW w:type="dxa" w:w="3700"/>
            <w:shd w:fill="F5F5F5" w:val="clear"/>
            <w:tcMar>
              <w:top w:type="dxa" w:w="60"/>
              <w:left w:type="dxa" w:w="100"/>
              <w:bottom w:type="dxa" w:w="60"/>
              <w:right w:type="dxa" w:w="60"/>
            </w:tcMar>
          </w:tcPr>
          <w:p>
            <w:r>
              <w:rPr>
                <w:color w:val="000000"/>
                <w:sz w:val="18"/>
                <w:szCs w:val="18"/>
              </w:rPr>
              <w:t xml:space="preserve">Primary communication index; used for email-based fallback matching</w:t>
            </w:r>
          </w:p>
        </w:tc>
      </w:tr>
      <w:tr>
        <w:tc>
          <w:tcPr>
            <w:tcW w:type="dxa" w:w="1600"/>
            <w:shd w:fill="FFFFFF" w:val="clear"/>
            <w:tcMar>
              <w:top w:type="dxa" w:w="60"/>
              <w:left w:type="dxa" w:w="100"/>
              <w:bottom w:type="dxa" w:w="60"/>
              <w:right w:type="dxa" w:w="60"/>
            </w:tcMar>
          </w:tcPr>
          <w:p>
            <w:r>
              <w:rPr>
                <w:color w:val="000000"/>
                <w:sz w:val="18"/>
                <w:szCs w:val="18"/>
              </w:rPr>
              <w:t xml:space="preserve">DisplayName</w:t>
            </w:r>
          </w:p>
        </w:tc>
        <w:tc>
          <w:tcPr>
            <w:tcW w:type="dxa" w:w="1400"/>
            <w:shd w:fill="FFFFFF" w:val="clear"/>
            <w:tcMar>
              <w:top w:type="dxa" w:w="60"/>
              <w:left w:type="dxa" w:w="100"/>
              <w:bottom w:type="dxa" w:w="60"/>
              <w:right w:type="dxa" w:w="60"/>
            </w:tcMar>
          </w:tcPr>
          <w:p>
            <w:r>
              <w:rPr>
                <w:color w:val="000000"/>
                <w:sz w:val="18"/>
                <w:szCs w:val="18"/>
              </w:rPr>
              <w:t xml:space="preserve">VARCHAR(250)</w:t>
            </w:r>
          </w:p>
        </w:tc>
        <w:tc>
          <w:tcPr>
            <w:tcW w:type="dxa" w:w="1400"/>
            <w:shd w:fill="FFFFFF" w:val="clear"/>
            <w:tcMar>
              <w:top w:type="dxa" w:w="60"/>
              <w:left w:type="dxa" w:w="100"/>
              <w:bottom w:type="dxa" w:w="60"/>
              <w:right w:type="dxa" w:w="60"/>
            </w:tcMar>
          </w:tcPr>
          <w:p>
            <w:r>
              <w:rPr>
                <w:color w:val="000000"/>
                <w:sz w:val="18"/>
                <w:szCs w:val="18"/>
              </w:rPr>
              <w:t xml:space="preserve">NOT NULL</w:t>
            </w:r>
          </w:p>
        </w:tc>
        <w:tc>
          <w:tcPr>
            <w:tcW w:type="dxa" w:w="1400"/>
            <w:shd w:fill="FFFFFF" w:val="clear"/>
            <w:tcMar>
              <w:top w:type="dxa" w:w="60"/>
              <w:left w:type="dxa" w:w="100"/>
              <w:bottom w:type="dxa" w:w="60"/>
              <w:right w:type="dxa" w:w="60"/>
            </w:tcMar>
          </w:tcPr>
          <w:p>
            <w:r>
              <w:rPr>
                <w:color w:val="000000"/>
                <w:sz w:val="18"/>
                <w:szCs w:val="18"/>
              </w:rPr>
              <w:t xml:space="preserve">—</w:t>
            </w:r>
          </w:p>
        </w:tc>
        <w:tc>
          <w:tcPr>
            <w:tcW w:type="dxa" w:w="3700"/>
            <w:shd w:fill="FFFFFF" w:val="clear"/>
            <w:tcMar>
              <w:top w:type="dxa" w:w="60"/>
              <w:left w:type="dxa" w:w="100"/>
              <w:bottom w:type="dxa" w:w="60"/>
              <w:right w:type="dxa" w:w="60"/>
            </w:tcMar>
          </w:tcPr>
          <w:p>
            <w:r>
              <w:rPr>
                <w:color w:val="000000"/>
                <w:sz w:val="18"/>
                <w:szCs w:val="18"/>
              </w:rPr>
              <w:t xml:space="preserve">Sanitised presentation name for UI elements</w:t>
            </w:r>
          </w:p>
        </w:tc>
      </w:tr>
      <w:tr>
        <w:tc>
          <w:tcPr>
            <w:tcW w:type="dxa" w:w="1600"/>
            <w:shd w:fill="F5F5F5" w:val="clear"/>
            <w:tcMar>
              <w:top w:type="dxa" w:w="60"/>
              <w:left w:type="dxa" w:w="100"/>
              <w:bottom w:type="dxa" w:w="60"/>
              <w:right w:type="dxa" w:w="60"/>
            </w:tcMar>
          </w:tcPr>
          <w:p>
            <w:r>
              <w:rPr>
                <w:color w:val="000000"/>
                <w:sz w:val="18"/>
                <w:szCs w:val="18"/>
              </w:rPr>
              <w:t xml:space="preserve">IsActive</w:t>
            </w:r>
          </w:p>
        </w:tc>
        <w:tc>
          <w:tcPr>
            <w:tcW w:type="dxa" w:w="1400"/>
            <w:shd w:fill="F5F5F5" w:val="clear"/>
            <w:tcMar>
              <w:top w:type="dxa" w:w="60"/>
              <w:left w:type="dxa" w:w="100"/>
              <w:bottom w:type="dxa" w:w="60"/>
              <w:right w:type="dxa" w:w="60"/>
            </w:tcMar>
          </w:tcPr>
          <w:p>
            <w:r>
              <w:rPr>
                <w:color w:val="000000"/>
                <w:sz w:val="18"/>
                <w:szCs w:val="18"/>
              </w:rPr>
              <w:t xml:space="preserve">BIT</w:t>
            </w:r>
          </w:p>
        </w:tc>
        <w:tc>
          <w:tcPr>
            <w:tcW w:type="dxa" w:w="1400"/>
            <w:shd w:fill="F5F5F5" w:val="clear"/>
            <w:tcMar>
              <w:top w:type="dxa" w:w="60"/>
              <w:left w:type="dxa" w:w="100"/>
              <w:bottom w:type="dxa" w:w="60"/>
              <w:right w:type="dxa" w:w="60"/>
            </w:tcMar>
          </w:tcPr>
          <w:p>
            <w:r>
              <w:rPr>
                <w:color w:val="000000"/>
                <w:sz w:val="18"/>
                <w:szCs w:val="18"/>
              </w:rPr>
              <w:t xml:space="preserve">NOT NULL</w:t>
            </w:r>
          </w:p>
        </w:tc>
        <w:tc>
          <w:tcPr>
            <w:tcW w:type="dxa" w:w="1400"/>
            <w:shd w:fill="F5F5F5" w:val="clear"/>
            <w:tcMar>
              <w:top w:type="dxa" w:w="60"/>
              <w:left w:type="dxa" w:w="100"/>
              <w:bottom w:type="dxa" w:w="60"/>
              <w:right w:type="dxa" w:w="60"/>
            </w:tcMar>
          </w:tcPr>
          <w:p>
            <w:r>
              <w:rPr>
                <w:color w:val="000000"/>
                <w:sz w:val="18"/>
                <w:szCs w:val="18"/>
              </w:rPr>
              <w:t xml:space="preserve">1</w:t>
            </w:r>
          </w:p>
        </w:tc>
        <w:tc>
          <w:tcPr>
            <w:tcW w:type="dxa" w:w="3700"/>
            <w:shd w:fill="F5F5F5" w:val="clear"/>
            <w:tcMar>
              <w:top w:type="dxa" w:w="60"/>
              <w:left w:type="dxa" w:w="100"/>
              <w:bottom w:type="dxa" w:w="60"/>
              <w:right w:type="dxa" w:w="60"/>
            </w:tcMar>
          </w:tcPr>
          <w:p>
            <w:r>
              <w:rPr>
                <w:color w:val="000000"/>
                <w:sz w:val="18"/>
                <w:szCs w:val="18"/>
              </w:rPr>
              <w:t xml:space="preserve">Authorization gate; inactive users are blocked at claims transformation</w:t>
            </w:r>
          </w:p>
        </w:tc>
      </w:tr>
      <w:tr>
        <w:tc>
          <w:tcPr>
            <w:tcW w:type="dxa" w:w="1600"/>
            <w:shd w:fill="FFFFFF" w:val="clear"/>
            <w:tcMar>
              <w:top w:type="dxa" w:w="60"/>
              <w:left w:type="dxa" w:w="100"/>
              <w:bottom w:type="dxa" w:w="60"/>
              <w:right w:type="dxa" w:w="60"/>
            </w:tcMar>
          </w:tcPr>
          <w:p>
            <w:r>
              <w:rPr>
                <w:color w:val="000000"/>
                <w:sz w:val="18"/>
                <w:szCs w:val="18"/>
              </w:rPr>
              <w:t xml:space="preserve">CreatedAt</w:t>
            </w:r>
          </w:p>
        </w:tc>
        <w:tc>
          <w:tcPr>
            <w:tcW w:type="dxa" w:w="1400"/>
            <w:shd w:fill="FFFFFF" w:val="clear"/>
            <w:tcMar>
              <w:top w:type="dxa" w:w="60"/>
              <w:left w:type="dxa" w:w="100"/>
              <w:bottom w:type="dxa" w:w="60"/>
              <w:right w:type="dxa" w:w="60"/>
            </w:tcMar>
          </w:tcPr>
          <w:p>
            <w:r>
              <w:rPr>
                <w:color w:val="000000"/>
                <w:sz w:val="18"/>
                <w:szCs w:val="18"/>
              </w:rPr>
              <w:t xml:space="preserve">DATETIME</w:t>
            </w:r>
          </w:p>
        </w:tc>
        <w:tc>
          <w:tcPr>
            <w:tcW w:type="dxa" w:w="1400"/>
            <w:shd w:fill="FFFFFF" w:val="clear"/>
            <w:tcMar>
              <w:top w:type="dxa" w:w="60"/>
              <w:left w:type="dxa" w:w="100"/>
              <w:bottom w:type="dxa" w:w="60"/>
              <w:right w:type="dxa" w:w="60"/>
            </w:tcMar>
          </w:tcPr>
          <w:p>
            <w:r>
              <w:rPr>
                <w:color w:val="000000"/>
                <w:sz w:val="18"/>
                <w:szCs w:val="18"/>
              </w:rPr>
              <w:t xml:space="preserve">NOT NULL</w:t>
            </w:r>
          </w:p>
        </w:tc>
        <w:tc>
          <w:tcPr>
            <w:tcW w:type="dxa" w:w="1400"/>
            <w:shd w:fill="FFFFFF" w:val="clear"/>
            <w:tcMar>
              <w:top w:type="dxa" w:w="60"/>
              <w:left w:type="dxa" w:w="100"/>
              <w:bottom w:type="dxa" w:w="60"/>
              <w:right w:type="dxa" w:w="60"/>
            </w:tcMar>
          </w:tcPr>
          <w:p>
            <w:r>
              <w:rPr>
                <w:color w:val="000000"/>
                <w:sz w:val="18"/>
                <w:szCs w:val="18"/>
              </w:rPr>
              <w:t xml:space="preserve">GETUTCDATE()</w:t>
            </w:r>
          </w:p>
        </w:tc>
        <w:tc>
          <w:tcPr>
            <w:tcW w:type="dxa" w:w="3700"/>
            <w:shd w:fill="FFFFFF" w:val="clear"/>
            <w:tcMar>
              <w:top w:type="dxa" w:w="60"/>
              <w:left w:type="dxa" w:w="100"/>
              <w:bottom w:type="dxa" w:w="60"/>
              <w:right w:type="dxa" w:w="60"/>
            </w:tcMar>
          </w:tcPr>
          <w:p>
            <w:r>
              <w:rPr>
                <w:color w:val="000000"/>
                <w:sz w:val="18"/>
                <w:szCs w:val="18"/>
              </w:rPr>
              <w:t xml:space="preserve">Audit timestamp for initial provisioning</w:t>
            </w:r>
          </w:p>
        </w:tc>
      </w:tr>
    </w:tbl>
    <w:p/>
    <w:p>
      <w:pPr>
        <w:pStyle w:val="Heading3"/>
        <w:spacing w:after="80" w:before="240"/>
      </w:pPr>
      <w:r>
        <w:t xml:space="preserve">6.2.2  [IMT].[UM_UserRoles]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400"/>
        <w:gridCol w:w="1400"/>
        <w:gridCol w:w="1400"/>
        <w:gridCol w:w="1400"/>
        <w:gridCol w:w="3900"/>
      </w:tblGrid>
      <w:tr>
        <w:trPr>
          <w:tblHeader/>
        </w:trPr>
        <w:tc>
          <w:tcPr>
            <w:tcW w:type="dxa" w:w="1400"/>
            <w:shd w:fill="0D2B5C" w:val="clear"/>
            <w:tcMar>
              <w:top w:type="dxa" w:w="60"/>
              <w:left w:type="dxa" w:w="100"/>
              <w:bottom w:type="dxa" w:w="60"/>
              <w:right w:type="dxa" w:w="60"/>
            </w:tcMar>
          </w:tcPr>
          <w:p>
            <w:r>
              <w:rPr>
                <w:b/>
                <w:bCs/>
                <w:color w:val="FFFFFF"/>
                <w:sz w:val="18"/>
                <w:szCs w:val="18"/>
              </w:rPr>
              <w:t xml:space="preserve">Column</w:t>
            </w:r>
          </w:p>
        </w:tc>
        <w:tc>
          <w:tcPr>
            <w:tcW w:type="dxa" w:w="1400"/>
            <w:shd w:fill="0D2B5C" w:val="clear"/>
            <w:tcMar>
              <w:top w:type="dxa" w:w="60"/>
              <w:left w:type="dxa" w:w="100"/>
              <w:bottom w:type="dxa" w:w="60"/>
              <w:right w:type="dxa" w:w="60"/>
            </w:tcMar>
          </w:tcPr>
          <w:p>
            <w:r>
              <w:rPr>
                <w:b/>
                <w:bCs/>
                <w:color w:val="FFFFFF"/>
                <w:sz w:val="18"/>
                <w:szCs w:val="18"/>
              </w:rPr>
              <w:t xml:space="preserve">Type</w:t>
            </w:r>
          </w:p>
        </w:tc>
        <w:tc>
          <w:tcPr>
            <w:tcW w:type="dxa" w:w="1400"/>
            <w:shd w:fill="0D2B5C" w:val="clear"/>
            <w:tcMar>
              <w:top w:type="dxa" w:w="60"/>
              <w:left w:type="dxa" w:w="100"/>
              <w:bottom w:type="dxa" w:w="60"/>
              <w:right w:type="dxa" w:w="60"/>
            </w:tcMar>
          </w:tcPr>
          <w:p>
            <w:r>
              <w:rPr>
                <w:b/>
                <w:bCs/>
                <w:color w:val="FFFFFF"/>
                <w:sz w:val="18"/>
                <w:szCs w:val="18"/>
              </w:rPr>
              <w:t xml:space="preserve">Nullable</w:t>
            </w:r>
          </w:p>
        </w:tc>
        <w:tc>
          <w:tcPr>
            <w:tcW w:type="dxa" w:w="1400"/>
            <w:shd w:fill="0D2B5C" w:val="clear"/>
            <w:tcMar>
              <w:top w:type="dxa" w:w="60"/>
              <w:left w:type="dxa" w:w="100"/>
              <w:bottom w:type="dxa" w:w="60"/>
              <w:right w:type="dxa" w:w="60"/>
            </w:tcMar>
          </w:tcPr>
          <w:p>
            <w:r>
              <w:rPr>
                <w:b/>
                <w:bCs/>
                <w:color w:val="FFFFFF"/>
                <w:sz w:val="18"/>
                <w:szCs w:val="18"/>
              </w:rPr>
              <w:t xml:space="preserve">Default</w:t>
            </w:r>
          </w:p>
        </w:tc>
        <w:tc>
          <w:tcPr>
            <w:tcW w:type="dxa" w:w="3900"/>
            <w:shd w:fill="0D2B5C" w:val="clear"/>
            <w:tcMar>
              <w:top w:type="dxa" w:w="60"/>
              <w:left w:type="dxa" w:w="100"/>
              <w:bottom w:type="dxa" w:w="60"/>
              <w:right w:type="dxa" w:w="60"/>
            </w:tcMar>
          </w:tcPr>
          <w:p>
            <w:r>
              <w:rPr>
                <w:b/>
                <w:bCs/>
                <w:color w:val="FFFFFF"/>
                <w:sz w:val="18"/>
                <w:szCs w:val="18"/>
              </w:rPr>
              <w:t xml:space="preserve">Purpose</w:t>
            </w:r>
          </w:p>
        </w:tc>
      </w:tr>
      <w:tr>
        <w:tc>
          <w:tcPr>
            <w:tcW w:type="dxa" w:w="1400"/>
            <w:shd w:fill="FFFFFF" w:val="clear"/>
            <w:tcMar>
              <w:top w:type="dxa" w:w="60"/>
              <w:left w:type="dxa" w:w="100"/>
              <w:bottom w:type="dxa" w:w="60"/>
              <w:right w:type="dxa" w:w="60"/>
            </w:tcMar>
          </w:tcPr>
          <w:p>
            <w:r>
              <w:rPr>
                <w:color w:val="000000"/>
                <w:sz w:val="18"/>
                <w:szCs w:val="18"/>
              </w:rPr>
              <w:t xml:space="preserve">UserId</w:t>
            </w:r>
          </w:p>
        </w:tc>
        <w:tc>
          <w:tcPr>
            <w:tcW w:type="dxa" w:w="1400"/>
            <w:shd w:fill="FFFFFF" w:val="clear"/>
            <w:tcMar>
              <w:top w:type="dxa" w:w="60"/>
              <w:left w:type="dxa" w:w="100"/>
              <w:bottom w:type="dxa" w:w="60"/>
              <w:right w:type="dxa" w:w="60"/>
            </w:tcMar>
          </w:tcPr>
          <w:p>
            <w:r>
              <w:rPr>
                <w:color w:val="000000"/>
                <w:sz w:val="18"/>
                <w:szCs w:val="18"/>
              </w:rPr>
              <w:t xml:space="preserve">INT</w:t>
            </w:r>
          </w:p>
        </w:tc>
        <w:tc>
          <w:tcPr>
            <w:tcW w:type="dxa" w:w="1400"/>
            <w:shd w:fill="FFFFFF" w:val="clear"/>
            <w:tcMar>
              <w:top w:type="dxa" w:w="60"/>
              <w:left w:type="dxa" w:w="100"/>
              <w:bottom w:type="dxa" w:w="60"/>
              <w:right w:type="dxa" w:w="60"/>
            </w:tcMar>
          </w:tcPr>
          <w:p>
            <w:r>
              <w:rPr>
                <w:color w:val="000000"/>
                <w:sz w:val="18"/>
                <w:szCs w:val="18"/>
              </w:rPr>
              <w:t xml:space="preserve">NOT NULL / PK</w:t>
            </w:r>
          </w:p>
        </w:tc>
        <w:tc>
          <w:tcPr>
            <w:tcW w:type="dxa" w:w="1400"/>
            <w:shd w:fill="FFFFFF" w:val="clear"/>
            <w:tcMar>
              <w:top w:type="dxa" w:w="60"/>
              <w:left w:type="dxa" w:w="100"/>
              <w:bottom w:type="dxa" w:w="60"/>
              <w:right w:type="dxa" w:w="60"/>
            </w:tcMar>
          </w:tcPr>
          <w:p>
            <w:r>
              <w:rPr>
                <w:color w:val="000000"/>
                <w:sz w:val="18"/>
                <w:szCs w:val="18"/>
              </w:rPr>
              <w:t xml:space="preserve">—</w:t>
            </w:r>
          </w:p>
        </w:tc>
        <w:tc>
          <w:tcPr>
            <w:tcW w:type="dxa" w:w="3900"/>
            <w:shd w:fill="FFFFFF" w:val="clear"/>
            <w:tcMar>
              <w:top w:type="dxa" w:w="60"/>
              <w:left w:type="dxa" w:w="100"/>
              <w:bottom w:type="dxa" w:w="60"/>
              <w:right w:type="dxa" w:w="60"/>
            </w:tcMar>
          </w:tcPr>
          <w:p>
            <w:r>
              <w:rPr>
                <w:color w:val="000000"/>
                <w:sz w:val="18"/>
                <w:szCs w:val="18"/>
              </w:rPr>
              <w:t xml:space="preserve">FK → UM_Users.UserId (CASCADE DELETE)</w:t>
            </w:r>
          </w:p>
        </w:tc>
      </w:tr>
      <w:tr>
        <w:tc>
          <w:tcPr>
            <w:tcW w:type="dxa" w:w="1400"/>
            <w:shd w:fill="F5F5F5" w:val="clear"/>
            <w:tcMar>
              <w:top w:type="dxa" w:w="60"/>
              <w:left w:type="dxa" w:w="100"/>
              <w:bottom w:type="dxa" w:w="60"/>
              <w:right w:type="dxa" w:w="60"/>
            </w:tcMar>
          </w:tcPr>
          <w:p>
            <w:r>
              <w:rPr>
                <w:color w:val="000000"/>
                <w:sz w:val="18"/>
                <w:szCs w:val="18"/>
              </w:rPr>
              <w:t xml:space="preserve">RoleId</w:t>
            </w:r>
          </w:p>
        </w:tc>
        <w:tc>
          <w:tcPr>
            <w:tcW w:type="dxa" w:w="1400"/>
            <w:shd w:fill="F5F5F5" w:val="clear"/>
            <w:tcMar>
              <w:top w:type="dxa" w:w="60"/>
              <w:left w:type="dxa" w:w="100"/>
              <w:bottom w:type="dxa" w:w="60"/>
              <w:right w:type="dxa" w:w="60"/>
            </w:tcMar>
          </w:tcPr>
          <w:p>
            <w:r>
              <w:rPr>
                <w:color w:val="000000"/>
                <w:sz w:val="18"/>
                <w:szCs w:val="18"/>
              </w:rPr>
              <w:t xml:space="preserve">INT</w:t>
            </w:r>
          </w:p>
        </w:tc>
        <w:tc>
          <w:tcPr>
            <w:tcW w:type="dxa" w:w="1400"/>
            <w:shd w:fill="F5F5F5" w:val="clear"/>
            <w:tcMar>
              <w:top w:type="dxa" w:w="60"/>
              <w:left w:type="dxa" w:w="100"/>
              <w:bottom w:type="dxa" w:w="60"/>
              <w:right w:type="dxa" w:w="60"/>
            </w:tcMar>
          </w:tcPr>
          <w:p>
            <w:r>
              <w:rPr>
                <w:color w:val="000000"/>
                <w:sz w:val="18"/>
                <w:szCs w:val="18"/>
              </w:rPr>
              <w:t xml:space="preserve">NOT NULL / PK</w:t>
            </w:r>
          </w:p>
        </w:tc>
        <w:tc>
          <w:tcPr>
            <w:tcW w:type="dxa" w:w="1400"/>
            <w:shd w:fill="F5F5F5" w:val="clear"/>
            <w:tcMar>
              <w:top w:type="dxa" w:w="60"/>
              <w:left w:type="dxa" w:w="100"/>
              <w:bottom w:type="dxa" w:w="60"/>
              <w:right w:type="dxa" w:w="60"/>
            </w:tcMar>
          </w:tcPr>
          <w:p>
            <w:r>
              <w:rPr>
                <w:color w:val="000000"/>
                <w:sz w:val="18"/>
                <w:szCs w:val="18"/>
              </w:rPr>
              <w:t xml:space="preserve">—</w:t>
            </w:r>
          </w:p>
        </w:tc>
        <w:tc>
          <w:tcPr>
            <w:tcW w:type="dxa" w:w="3900"/>
            <w:shd w:fill="F5F5F5" w:val="clear"/>
            <w:tcMar>
              <w:top w:type="dxa" w:w="60"/>
              <w:left w:type="dxa" w:w="100"/>
              <w:bottom w:type="dxa" w:w="60"/>
              <w:right w:type="dxa" w:w="60"/>
            </w:tcMar>
          </w:tcPr>
          <w:p>
            <w:r>
              <w:rPr>
                <w:color w:val="000000"/>
                <w:sz w:val="18"/>
                <w:szCs w:val="18"/>
              </w:rPr>
              <w:t xml:space="preserve">FK → UM_Roles.RoleId</w:t>
            </w:r>
          </w:p>
        </w:tc>
      </w:tr>
      <w:tr>
        <w:tc>
          <w:tcPr>
            <w:tcW w:type="dxa" w:w="1400"/>
            <w:shd w:fill="FFFFFF" w:val="clear"/>
            <w:tcMar>
              <w:top w:type="dxa" w:w="60"/>
              <w:left w:type="dxa" w:w="100"/>
              <w:bottom w:type="dxa" w:w="60"/>
              <w:right w:type="dxa" w:w="60"/>
            </w:tcMar>
          </w:tcPr>
          <w:p>
            <w:r>
              <w:rPr>
                <w:color w:val="000000"/>
                <w:sz w:val="18"/>
                <w:szCs w:val="18"/>
              </w:rPr>
              <w:t xml:space="preserve">AssignedAt</w:t>
            </w:r>
          </w:p>
        </w:tc>
        <w:tc>
          <w:tcPr>
            <w:tcW w:type="dxa" w:w="1400"/>
            <w:shd w:fill="FFFFFF" w:val="clear"/>
            <w:tcMar>
              <w:top w:type="dxa" w:w="60"/>
              <w:left w:type="dxa" w:w="100"/>
              <w:bottom w:type="dxa" w:w="60"/>
              <w:right w:type="dxa" w:w="60"/>
            </w:tcMar>
          </w:tcPr>
          <w:p>
            <w:r>
              <w:rPr>
                <w:color w:val="000000"/>
                <w:sz w:val="18"/>
                <w:szCs w:val="18"/>
              </w:rPr>
              <w:t xml:space="preserve">DATETIME</w:t>
            </w:r>
          </w:p>
        </w:tc>
        <w:tc>
          <w:tcPr>
            <w:tcW w:type="dxa" w:w="1400"/>
            <w:shd w:fill="FFFFFF" w:val="clear"/>
            <w:tcMar>
              <w:top w:type="dxa" w:w="60"/>
              <w:left w:type="dxa" w:w="100"/>
              <w:bottom w:type="dxa" w:w="60"/>
              <w:right w:type="dxa" w:w="60"/>
            </w:tcMar>
          </w:tcPr>
          <w:p>
            <w:r>
              <w:rPr>
                <w:color w:val="000000"/>
                <w:sz w:val="18"/>
                <w:szCs w:val="18"/>
              </w:rPr>
              <w:t xml:space="preserve">NOT NULL</w:t>
            </w:r>
          </w:p>
        </w:tc>
        <w:tc>
          <w:tcPr>
            <w:tcW w:type="dxa" w:w="1400"/>
            <w:shd w:fill="FFFFFF" w:val="clear"/>
            <w:tcMar>
              <w:top w:type="dxa" w:w="60"/>
              <w:left w:type="dxa" w:w="100"/>
              <w:bottom w:type="dxa" w:w="60"/>
              <w:right w:type="dxa" w:w="60"/>
            </w:tcMar>
          </w:tcPr>
          <w:p>
            <w:r>
              <w:rPr>
                <w:color w:val="000000"/>
                <w:sz w:val="18"/>
                <w:szCs w:val="18"/>
              </w:rPr>
              <w:t xml:space="preserve">GETUTCDATE()</w:t>
            </w:r>
          </w:p>
        </w:tc>
        <w:tc>
          <w:tcPr>
            <w:tcW w:type="dxa" w:w="3900"/>
            <w:shd w:fill="FFFFFF" w:val="clear"/>
            <w:tcMar>
              <w:top w:type="dxa" w:w="60"/>
              <w:left w:type="dxa" w:w="100"/>
              <w:bottom w:type="dxa" w:w="60"/>
              <w:right w:type="dxa" w:w="60"/>
            </w:tcMar>
          </w:tcPr>
          <w:p>
            <w:r>
              <w:rPr>
                <w:color w:val="000000"/>
                <w:sz w:val="18"/>
                <w:szCs w:val="18"/>
              </w:rPr>
              <w:t xml:space="preserve">Audit timestamp for role assignment (JIT or manual)</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left w:val="single" w:color="E65100" w:sz="16"/>
              <w:bottom w:val="none"/>
              <w:right w:val="none"/>
            </w:tcBorders>
            <w:shd w:fill="FFF3E0" w:val="clear"/>
            <w:tcMar>
              <w:top w:type="dxa" w:w="80"/>
              <w:left w:type="dxa" w:w="140"/>
              <w:bottom w:type="dxa" w:w="80"/>
              <w:right w:type="dxa" w:w="80"/>
            </w:tcMar>
          </w:tcPr>
          <w:p>
            <w:pPr>
              <w:spacing w:after="40" w:before="0"/>
            </w:pPr>
            <w:r>
              <w:rPr>
                <w:b/>
                <w:bCs/>
                <w:color w:val="E65100"/>
                <w:sz w:val="20"/>
                <w:szCs w:val="20"/>
              </w:rPr>
              <w:t xml:space="preserve">DB Schema Change for SSO</w:t>
            </w:r>
          </w:p>
          <w:p>
            <w:pPr>
              <w:spacing w:after="0" w:before="0"/>
            </w:pPr>
            <w:r>
              <w:rPr>
                <w:color w:val="424242"/>
                <w:sz w:val="19"/>
                <w:szCs w:val="19"/>
              </w:rPr>
              <w:t xml:space="preserve">AzureAdObjectId was added to UM_Users as part of the v1.0.0 SSO branch. Existing users created before SSO was enabled will have NULL in this column. They are matched on first SSO login by email address, and their AzureAdObjectId is backfilled automatically by the self-healing sync path.</w:t>
            </w:r>
          </w:p>
        </w:tc>
      </w:tr>
    </w:tbl>
    <w:p>
      <w:r>
        <w:br w:type="page"/>
      </w:r>
    </w:p>
    <w:tbl>
      <w:tblPr>
        <w:tblW w:type="pct" w:w="100%"/>
        <w:tblBorders>
          <w:top w:val="none"/>
          <w:left w:val="none"/>
          <w:bottom w:val="none"/>
          <w:right w:val="none"/>
          <w:insideH w:val="single" w:color="auto" w:sz="4"/>
          <w:insideV w:val="single" w:color="auto" w:sz="4"/>
        </w:tblBorders>
      </w:tblPr>
      <w:tblGrid>
        <w:gridCol w:w="1200"/>
        <w:gridCol w:w="8300"/>
      </w:tblGrid>
      <w:tr>
        <w:tc>
          <w:tcPr>
            <w:tcW w:type="dxa" w:w="1200"/>
            <w:shd w:fill="0D2B5C" w:val="clear"/>
            <w:tcMar>
              <w:top w:type="dxa" w:w="100"/>
              <w:left w:type="dxa" w:w="120"/>
              <w:bottom w:type="dxa" w:w="100"/>
              <w:right w:type="dxa" w:w="60"/>
            </w:tcMar>
            <w:vAlign w:val="center"/>
          </w:tcPr>
          <w:p>
            <w:pPr>
              <w:jc w:val="center"/>
            </w:pPr>
            <w:r>
              <w:rPr>
                <w:rFonts w:ascii="Calibri" w:cs="Calibri" w:eastAsia="Calibri" w:hAnsi="Calibri"/>
                <w:b/>
                <w:bCs/>
                <w:color w:val="FFFFFF"/>
                <w:sz w:val="32"/>
                <w:szCs w:val="32"/>
              </w:rPr>
              <w:t xml:space="preserve">§7</w:t>
            </w:r>
          </w:p>
        </w:tc>
        <w:tc>
          <w:tcPr>
            <w:tcW w:type="dxa" w:w="8300"/>
            <w:shd w:fill="E3EEF9" w:val="clear"/>
            <w:tcMar>
              <w:top w:type="dxa" w:w="80"/>
              <w:left w:type="dxa" w:w="160"/>
              <w:bottom w:type="dxa" w:w="80"/>
              <w:right w:type="dxa" w:w="80"/>
            </w:tcMar>
          </w:tcPr>
          <w:p>
            <w:pPr>
              <w:spacing w:after="40" w:before="0"/>
            </w:pPr>
            <w:r>
              <w:rPr>
                <w:rFonts w:ascii="Calibri" w:cs="Calibri" w:eastAsia="Calibri" w:hAnsi="Calibri"/>
                <w:b/>
                <w:bCs/>
                <w:color w:val="0D2B5C"/>
                <w:sz w:val="26"/>
                <w:szCs w:val="26"/>
              </w:rPr>
              <w:t xml:space="preserve">Microsoft Graph API Integration</w:t>
            </w:r>
          </w:p>
          <w:p>
            <w:pPr>
              <w:spacing w:after="0" w:before="0"/>
            </w:pPr>
            <w:r>
              <w:rPr>
                <w:i/>
                <w:iCs/>
                <w:color w:val="006DA3"/>
                <w:sz w:val="18"/>
                <w:szCs w:val="18"/>
              </w:rPr>
              <w:t xml:space="preserve">Permissions, API endpoints, user profile mapping, and group-to-role translation</w:t>
            </w:r>
          </w:p>
        </w:tc>
      </w:tr>
    </w:tbl>
    <w:p/>
    <w:p>
      <w:pPr>
        <w:pStyle w:val="Heading2"/>
        <w:spacing w:after="120" w:before="320"/>
      </w:pPr>
      <w:r>
        <w:t xml:space="preserve">7.1  Overview</w:t>
      </w:r>
    </w:p>
    <w:p>
      <w:pPr>
        <w:spacing w:after="60" w:before="60"/>
        <w:jc w:val="left"/>
      </w:pPr>
      <w:r>
        <w:rPr>
          <w:b w:val="false"/>
          <w:bCs w:val="false"/>
          <w:i w:val="false"/>
          <w:iCs w:val="false"/>
          <w:color w:val="000000"/>
          <w:sz w:val="20"/>
          <w:szCs w:val="20"/>
        </w:rPr>
        <w:t xml:space="preserve">Microsoft Graph API serves two distinct purposes in the IMP SSO architecture: (1) fetching the authenticated user's Entra security group memberships for role mapping at login time, and (2) enriching the user profile with display metadata (department, manager, job title, photo) for UI presentation.</w:t>
      </w:r>
    </w:p>
    <w:p/>
    <w:p>
      <w:pPr>
        <w:pStyle w:val="Heading2"/>
        <w:spacing w:after="120" w:before="320"/>
      </w:pPr>
      <w:r>
        <w:t xml:space="preserve">7.2  Required Permissions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2200"/>
        <w:gridCol w:w="1000"/>
        <w:gridCol w:w="2000"/>
        <w:gridCol w:w="3000"/>
        <w:gridCol w:w="1300"/>
      </w:tblGrid>
      <w:tr>
        <w:trPr>
          <w:tblHeader/>
        </w:trPr>
        <w:tc>
          <w:tcPr>
            <w:tcW w:type="dxa" w:w="2200"/>
            <w:shd w:fill="0D2B5C" w:val="clear"/>
            <w:tcMar>
              <w:top w:type="dxa" w:w="60"/>
              <w:left w:type="dxa" w:w="100"/>
              <w:bottom w:type="dxa" w:w="60"/>
              <w:right w:type="dxa" w:w="60"/>
            </w:tcMar>
          </w:tcPr>
          <w:p>
            <w:r>
              <w:rPr>
                <w:b/>
                <w:bCs/>
                <w:color w:val="FFFFFF"/>
                <w:sz w:val="18"/>
                <w:szCs w:val="18"/>
              </w:rPr>
              <w:t xml:space="preserve">Permission</w:t>
            </w:r>
          </w:p>
        </w:tc>
        <w:tc>
          <w:tcPr>
            <w:tcW w:type="dxa" w:w="1000"/>
            <w:shd w:fill="0D2B5C" w:val="clear"/>
            <w:tcMar>
              <w:top w:type="dxa" w:w="60"/>
              <w:left w:type="dxa" w:w="100"/>
              <w:bottom w:type="dxa" w:w="60"/>
              <w:right w:type="dxa" w:w="60"/>
            </w:tcMar>
          </w:tcPr>
          <w:p>
            <w:r>
              <w:rPr>
                <w:b/>
                <w:bCs/>
                <w:color w:val="FFFFFF"/>
                <w:sz w:val="18"/>
                <w:szCs w:val="18"/>
              </w:rPr>
              <w:t xml:space="preserve">Type</w:t>
            </w:r>
          </w:p>
        </w:tc>
        <w:tc>
          <w:tcPr>
            <w:tcW w:type="dxa" w:w="2000"/>
            <w:shd w:fill="0D2B5C" w:val="clear"/>
            <w:tcMar>
              <w:top w:type="dxa" w:w="60"/>
              <w:left w:type="dxa" w:w="100"/>
              <w:bottom w:type="dxa" w:w="60"/>
              <w:right w:type="dxa" w:w="60"/>
            </w:tcMar>
          </w:tcPr>
          <w:p>
            <w:r>
              <w:rPr>
                <w:b/>
                <w:bCs/>
                <w:color w:val="FFFFFF"/>
                <w:sz w:val="18"/>
                <w:szCs w:val="18"/>
              </w:rPr>
              <w:t xml:space="preserve">Endpoint Used</w:t>
            </w:r>
          </w:p>
        </w:tc>
        <w:tc>
          <w:tcPr>
            <w:tcW w:type="dxa" w:w="3000"/>
            <w:shd w:fill="0D2B5C" w:val="clear"/>
            <w:tcMar>
              <w:top w:type="dxa" w:w="60"/>
              <w:left w:type="dxa" w:w="100"/>
              <w:bottom w:type="dxa" w:w="60"/>
              <w:right w:type="dxa" w:w="60"/>
            </w:tcMar>
          </w:tcPr>
          <w:p>
            <w:r>
              <w:rPr>
                <w:b/>
                <w:bCs/>
                <w:color w:val="FFFFFF"/>
                <w:sz w:val="18"/>
                <w:szCs w:val="18"/>
              </w:rPr>
              <w:t xml:space="preserve">Purpose</w:t>
            </w:r>
          </w:p>
        </w:tc>
        <w:tc>
          <w:tcPr>
            <w:tcW w:type="dxa" w:w="1300"/>
            <w:shd w:fill="0D2B5C" w:val="clear"/>
            <w:tcMar>
              <w:top w:type="dxa" w:w="60"/>
              <w:left w:type="dxa" w:w="100"/>
              <w:bottom w:type="dxa" w:w="60"/>
              <w:right w:type="dxa" w:w="60"/>
            </w:tcMar>
          </w:tcPr>
          <w:p>
            <w:r>
              <w:rPr>
                <w:b/>
                <w:bCs/>
                <w:color w:val="FFFFFF"/>
                <w:sz w:val="18"/>
                <w:szCs w:val="18"/>
              </w:rPr>
              <w:t xml:space="preserve">Admin Consent</w:t>
            </w:r>
          </w:p>
        </w:tc>
      </w:tr>
      <w:tr>
        <w:tc>
          <w:tcPr>
            <w:tcW w:type="dxa" w:w="2200"/>
            <w:shd w:fill="FFFFFF" w:val="clear"/>
            <w:tcMar>
              <w:top w:type="dxa" w:w="60"/>
              <w:left w:type="dxa" w:w="100"/>
              <w:bottom w:type="dxa" w:w="60"/>
              <w:right w:type="dxa" w:w="60"/>
            </w:tcMar>
          </w:tcPr>
          <w:p>
            <w:r>
              <w:rPr>
                <w:color w:val="000000"/>
                <w:sz w:val="18"/>
                <w:szCs w:val="18"/>
              </w:rPr>
              <w:t xml:space="preserve">User.Read</w:t>
            </w:r>
          </w:p>
        </w:tc>
        <w:tc>
          <w:tcPr>
            <w:tcW w:type="dxa" w:w="1000"/>
            <w:shd w:fill="FFFFFF" w:val="clear"/>
            <w:tcMar>
              <w:top w:type="dxa" w:w="60"/>
              <w:left w:type="dxa" w:w="100"/>
              <w:bottom w:type="dxa" w:w="60"/>
              <w:right w:type="dxa" w:w="60"/>
            </w:tcMar>
          </w:tcPr>
          <w:p>
            <w:r>
              <w:rPr>
                <w:color w:val="000000"/>
                <w:sz w:val="18"/>
                <w:szCs w:val="18"/>
              </w:rPr>
              <w:t xml:space="preserve">Delegated</w:t>
            </w:r>
          </w:p>
        </w:tc>
        <w:tc>
          <w:tcPr>
            <w:tcW w:type="dxa" w:w="2000"/>
            <w:shd w:fill="FFFFFF" w:val="clear"/>
            <w:tcMar>
              <w:top w:type="dxa" w:w="60"/>
              <w:left w:type="dxa" w:w="100"/>
              <w:bottom w:type="dxa" w:w="60"/>
              <w:right w:type="dxa" w:w="60"/>
            </w:tcMar>
          </w:tcPr>
          <w:p>
            <w:r>
              <w:rPr>
                <w:color w:val="000000"/>
                <w:sz w:val="18"/>
                <w:szCs w:val="18"/>
              </w:rPr>
              <w:t xml:space="preserve">GET /me</w:t>
            </w:r>
          </w:p>
        </w:tc>
        <w:tc>
          <w:tcPr>
            <w:tcW w:type="dxa" w:w="3000"/>
            <w:shd w:fill="FFFFFF" w:val="clear"/>
            <w:tcMar>
              <w:top w:type="dxa" w:w="60"/>
              <w:left w:type="dxa" w:w="100"/>
              <w:bottom w:type="dxa" w:w="60"/>
              <w:right w:type="dxa" w:w="60"/>
            </w:tcMar>
          </w:tcPr>
          <w:p>
            <w:r>
              <w:rPr>
                <w:color w:val="000000"/>
                <w:sz w:val="18"/>
                <w:szCs w:val="18"/>
              </w:rPr>
              <w:t xml:space="preserve">Read signed-in user's basic profile</w:t>
            </w:r>
          </w:p>
        </w:tc>
        <w:tc>
          <w:tcPr>
            <w:tcW w:type="dxa" w:w="1300"/>
            <w:shd w:fill="FFFFFF" w:val="clear"/>
            <w:tcMar>
              <w:top w:type="dxa" w:w="60"/>
              <w:left w:type="dxa" w:w="100"/>
              <w:bottom w:type="dxa" w:w="60"/>
              <w:right w:type="dxa" w:w="60"/>
            </w:tcMar>
          </w:tcPr>
          <w:p>
            <w:r>
              <w:rPr>
                <w:color w:val="000000"/>
                <w:sz w:val="18"/>
                <w:szCs w:val="18"/>
              </w:rPr>
              <w:t xml:space="preserve">No</w:t>
            </w:r>
          </w:p>
        </w:tc>
      </w:tr>
      <w:tr>
        <w:tc>
          <w:tcPr>
            <w:tcW w:type="dxa" w:w="2200"/>
            <w:shd w:fill="F5F5F5" w:val="clear"/>
            <w:tcMar>
              <w:top w:type="dxa" w:w="60"/>
              <w:left w:type="dxa" w:w="100"/>
              <w:bottom w:type="dxa" w:w="60"/>
              <w:right w:type="dxa" w:w="60"/>
            </w:tcMar>
          </w:tcPr>
          <w:p>
            <w:r>
              <w:rPr>
                <w:color w:val="000000"/>
                <w:sz w:val="18"/>
                <w:szCs w:val="18"/>
              </w:rPr>
              <w:t xml:space="preserve">GroupMember.Read.All</w:t>
            </w:r>
          </w:p>
        </w:tc>
        <w:tc>
          <w:tcPr>
            <w:tcW w:type="dxa" w:w="1000"/>
            <w:shd w:fill="F5F5F5" w:val="clear"/>
            <w:tcMar>
              <w:top w:type="dxa" w:w="60"/>
              <w:left w:type="dxa" w:w="100"/>
              <w:bottom w:type="dxa" w:w="60"/>
              <w:right w:type="dxa" w:w="60"/>
            </w:tcMar>
          </w:tcPr>
          <w:p>
            <w:r>
              <w:rPr>
                <w:color w:val="000000"/>
                <w:sz w:val="18"/>
                <w:szCs w:val="18"/>
              </w:rPr>
              <w:t xml:space="preserve">Delegated</w:t>
            </w:r>
          </w:p>
        </w:tc>
        <w:tc>
          <w:tcPr>
            <w:tcW w:type="dxa" w:w="2000"/>
            <w:shd w:fill="F5F5F5" w:val="clear"/>
            <w:tcMar>
              <w:top w:type="dxa" w:w="60"/>
              <w:left w:type="dxa" w:w="100"/>
              <w:bottom w:type="dxa" w:w="60"/>
              <w:right w:type="dxa" w:w="60"/>
            </w:tcMar>
          </w:tcPr>
          <w:p>
            <w:r>
              <w:rPr>
                <w:color w:val="000000"/>
                <w:sz w:val="18"/>
                <w:szCs w:val="18"/>
              </w:rPr>
              <w:t xml:space="preserve">GET /me/appRoleAssignments</w:t>
            </w:r>
          </w:p>
        </w:tc>
        <w:tc>
          <w:tcPr>
            <w:tcW w:type="dxa" w:w="3000"/>
            <w:shd w:fill="F5F5F5" w:val="clear"/>
            <w:tcMar>
              <w:top w:type="dxa" w:w="60"/>
              <w:left w:type="dxa" w:w="100"/>
              <w:bottom w:type="dxa" w:w="60"/>
              <w:right w:type="dxa" w:w="60"/>
            </w:tcMar>
          </w:tcPr>
          <w:p>
            <w:r>
              <w:rPr>
                <w:color w:val="000000"/>
                <w:sz w:val="18"/>
                <w:szCs w:val="18"/>
              </w:rPr>
              <w:t xml:space="preserve">Read user's Entra security group memberships for role mapping</w:t>
            </w:r>
          </w:p>
        </w:tc>
        <w:tc>
          <w:tcPr>
            <w:tcW w:type="dxa" w:w="1300"/>
            <w:shd w:fill="F5F5F5" w:val="clear"/>
            <w:tcMar>
              <w:top w:type="dxa" w:w="60"/>
              <w:left w:type="dxa" w:w="100"/>
              <w:bottom w:type="dxa" w:w="60"/>
              <w:right w:type="dxa" w:w="60"/>
            </w:tcMar>
          </w:tcPr>
          <w:p>
            <w:r>
              <w:rPr>
                <w:color w:val="000000"/>
                <w:sz w:val="18"/>
                <w:szCs w:val="18"/>
              </w:rPr>
              <w:t xml:space="preserve">YES</w:t>
            </w:r>
          </w:p>
        </w:tc>
      </w:tr>
      <w:tr>
        <w:tc>
          <w:tcPr>
            <w:tcW w:type="dxa" w:w="2200"/>
            <w:shd w:fill="FFFFFF" w:val="clear"/>
            <w:tcMar>
              <w:top w:type="dxa" w:w="60"/>
              <w:left w:type="dxa" w:w="100"/>
              <w:bottom w:type="dxa" w:w="60"/>
              <w:right w:type="dxa" w:w="60"/>
            </w:tcMar>
          </w:tcPr>
          <w:p>
            <w:r>
              <w:rPr>
                <w:color w:val="000000"/>
                <w:sz w:val="18"/>
                <w:szCs w:val="18"/>
              </w:rPr>
              <w:t xml:space="preserve">Directory.Read.All</w:t>
            </w:r>
          </w:p>
        </w:tc>
        <w:tc>
          <w:tcPr>
            <w:tcW w:type="dxa" w:w="1000"/>
            <w:shd w:fill="FFFFFF" w:val="clear"/>
            <w:tcMar>
              <w:top w:type="dxa" w:w="60"/>
              <w:left w:type="dxa" w:w="100"/>
              <w:bottom w:type="dxa" w:w="60"/>
              <w:right w:type="dxa" w:w="60"/>
            </w:tcMar>
          </w:tcPr>
          <w:p>
            <w:r>
              <w:rPr>
                <w:color w:val="000000"/>
                <w:sz w:val="18"/>
                <w:szCs w:val="18"/>
              </w:rPr>
              <w:t xml:space="preserve">Delegated</w:t>
            </w:r>
          </w:p>
        </w:tc>
        <w:tc>
          <w:tcPr>
            <w:tcW w:type="dxa" w:w="2000"/>
            <w:shd w:fill="FFFFFF" w:val="clear"/>
            <w:tcMar>
              <w:top w:type="dxa" w:w="60"/>
              <w:left w:type="dxa" w:w="100"/>
              <w:bottom w:type="dxa" w:w="60"/>
              <w:right w:type="dxa" w:w="60"/>
            </w:tcMar>
          </w:tcPr>
          <w:p>
            <w:r>
              <w:rPr>
                <w:color w:val="000000"/>
                <w:sz w:val="18"/>
                <w:szCs w:val="18"/>
              </w:rPr>
              <w:t xml:space="preserve">GET /me/manager</w:t>
            </w:r>
          </w:p>
        </w:tc>
        <w:tc>
          <w:tcPr>
            <w:tcW w:type="dxa" w:w="3000"/>
            <w:shd w:fill="FFFFFF" w:val="clear"/>
            <w:tcMar>
              <w:top w:type="dxa" w:w="60"/>
              <w:left w:type="dxa" w:w="100"/>
              <w:bottom w:type="dxa" w:w="60"/>
              <w:right w:type="dxa" w:w="60"/>
            </w:tcMar>
          </w:tcPr>
          <w:p>
            <w:r>
              <w:rPr>
                <w:color w:val="000000"/>
                <w:sz w:val="18"/>
                <w:szCs w:val="18"/>
              </w:rPr>
              <w:t xml:space="preserve">Read manager information from the directory</w:t>
            </w:r>
          </w:p>
        </w:tc>
        <w:tc>
          <w:tcPr>
            <w:tcW w:type="dxa" w:w="1300"/>
            <w:shd w:fill="FFFFFF" w:val="clear"/>
            <w:tcMar>
              <w:top w:type="dxa" w:w="60"/>
              <w:left w:type="dxa" w:w="100"/>
              <w:bottom w:type="dxa" w:w="60"/>
              <w:right w:type="dxa" w:w="60"/>
            </w:tcMar>
          </w:tcPr>
          <w:p>
            <w:r>
              <w:rPr>
                <w:color w:val="000000"/>
                <w:sz w:val="18"/>
                <w:szCs w:val="18"/>
              </w:rPr>
              <w:t xml:space="preserve">YES</w:t>
            </w:r>
          </w:p>
        </w:tc>
      </w:tr>
    </w:tbl>
    <w:p/>
    <w:p>
      <w:pPr>
        <w:pStyle w:val="Heading2"/>
        <w:spacing w:after="120" w:before="320"/>
      </w:pPr>
      <w:r>
        <w:t xml:space="preserve">7.3  API Calls &amp; Usage</w:t>
      </w:r>
    </w:p>
    <w:p>
      <w:pPr>
        <w:pStyle w:val="Heading3"/>
        <w:spacing w:after="80" w:before="240"/>
      </w:pPr>
      <w:r>
        <w:t xml:space="preserve">7.3.1  GET /me  —  Basic User Profile</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GET https://graph.microsoft.com/v1.0/me</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Authorization: Bearer {graphAccessToken}</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Response fields used: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id           → Users.AzureAdObjectId  (primary identity link)</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mail         → Users.Email            (provisioning + communication)</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displayName  → Users.DisplayName      (UI presentation name)</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jobTitle     → UI profile display only (not persisted in IMP DB)</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department   → UI profile display only</w:t>
      </w:r>
    </w:p>
    <w:p/>
    <w:p>
      <w:pPr>
        <w:pStyle w:val="Heading3"/>
        <w:spacing w:after="80" w:before="240"/>
      </w:pPr>
      <w:r>
        <w:t xml:space="preserve">7.3.2  GET /me/appRoleAssignments  —  Security Group Memberships</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GET https://graph.microsoft.com/v1.0/me/appRoleAssignments</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Authorization: Bearer {graphAccessToken}</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Response processing logic (AuthenticationServiceExtensions.cs):</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1. Filter groups where principalDisplayName contains 'SG-APPCINTERVENTIONS'</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2. Further filter by environment shortcode (DEV / UAT / PROD)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3. Normalise IT typo: replace '-REQUESTOR' with '-REQUESTER'</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4. Extract role token: last segment after '-' split</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5. Store in IMemoryCache: key = UI_AppRoles_{oid} TTL = 60 min</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6. Forward as X-Entra-App-Roles header to API</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Example group names and extracted roles:</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SG-APPCINTERVENTIONS-DEV-APPROVER   → APPROVER</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SG-APPCINTERVENTIONS-DEV-REQUESTOR  → REQUESTER  (typo normalised)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SG-APPCINTERVENTIONS-PROD-ADMIN     → ADMIN</w:t>
      </w:r>
    </w:p>
    <w:p/>
    <w:p>
      <w:pPr>
        <w:pStyle w:val="Heading3"/>
        <w:spacing w:after="80" w:before="240"/>
      </w:pPr>
      <w:r>
        <w:t xml:space="preserve">7.3.3  GET /me/manager  —  Manager Information</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GET https://graph.microsoft.com/v1.0/me/manager</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Authorization: Bearer {graphAccessToken}</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Response fields used: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displayName  → Manager name shown in UI profile panel</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mail         → Manager email for workflow routing (future use)</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Note: Returns 404 if no manager is assigned in the directory.</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Handle gracefully — not all users have a manager record.</w:t>
      </w:r>
    </w:p>
    <w:p/>
    <w:p>
      <w:pPr>
        <w:pStyle w:val="Heading2"/>
        <w:spacing w:after="120" w:before="320"/>
      </w:pPr>
      <w:r>
        <w:t xml:space="preserve">7.4  User Identity Mapping</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2000"/>
        <w:gridCol w:w="2400"/>
        <w:gridCol w:w="5100"/>
      </w:tblGrid>
      <w:tr>
        <w:trPr>
          <w:tblHeader/>
        </w:trPr>
        <w:tc>
          <w:tcPr>
            <w:tcW w:type="dxa" w:w="2000"/>
            <w:shd w:fill="0D2B5C" w:val="clear"/>
            <w:tcMar>
              <w:top w:type="dxa" w:w="60"/>
              <w:left w:type="dxa" w:w="100"/>
              <w:bottom w:type="dxa" w:w="60"/>
              <w:right w:type="dxa" w:w="60"/>
            </w:tcMar>
          </w:tcPr>
          <w:p>
            <w:r>
              <w:rPr>
                <w:b/>
                <w:bCs/>
                <w:color w:val="FFFFFF"/>
                <w:sz w:val="18"/>
                <w:szCs w:val="18"/>
              </w:rPr>
              <w:t xml:space="preserve">Graph API Field</w:t>
            </w:r>
          </w:p>
        </w:tc>
        <w:tc>
          <w:tcPr>
            <w:tcW w:type="dxa" w:w="2400"/>
            <w:shd w:fill="0D2B5C" w:val="clear"/>
            <w:tcMar>
              <w:top w:type="dxa" w:w="60"/>
              <w:left w:type="dxa" w:w="100"/>
              <w:bottom w:type="dxa" w:w="60"/>
              <w:right w:type="dxa" w:w="60"/>
            </w:tcMar>
          </w:tcPr>
          <w:p>
            <w:r>
              <w:rPr>
                <w:b/>
                <w:bCs/>
                <w:color w:val="FFFFFF"/>
                <w:sz w:val="18"/>
                <w:szCs w:val="18"/>
              </w:rPr>
              <w:t xml:space="preserve">IMP DB Column</w:t>
            </w:r>
          </w:p>
        </w:tc>
        <w:tc>
          <w:tcPr>
            <w:tcW w:type="dxa" w:w="5100"/>
            <w:shd w:fill="0D2B5C" w:val="clear"/>
            <w:tcMar>
              <w:top w:type="dxa" w:w="60"/>
              <w:left w:type="dxa" w:w="100"/>
              <w:bottom w:type="dxa" w:w="60"/>
              <w:right w:type="dxa" w:w="60"/>
            </w:tcMar>
          </w:tcPr>
          <w:p>
            <w:r>
              <w:rPr>
                <w:b/>
                <w:bCs/>
                <w:color w:val="FFFFFF"/>
                <w:sz w:val="18"/>
                <w:szCs w:val="18"/>
              </w:rPr>
              <w:t xml:space="preserve">Purpose</w:t>
            </w:r>
          </w:p>
        </w:tc>
      </w:tr>
      <w:tr>
        <w:tc>
          <w:tcPr>
            <w:tcW w:type="dxa" w:w="2000"/>
            <w:shd w:fill="FFFFFF" w:val="clear"/>
            <w:tcMar>
              <w:top w:type="dxa" w:w="60"/>
              <w:left w:type="dxa" w:w="100"/>
              <w:bottom w:type="dxa" w:w="60"/>
              <w:right w:type="dxa" w:w="60"/>
            </w:tcMar>
          </w:tcPr>
          <w:p>
            <w:r>
              <w:rPr>
                <w:color w:val="000000"/>
                <w:sz w:val="18"/>
                <w:szCs w:val="18"/>
              </w:rPr>
              <w:t xml:space="preserve">id (OID)</w:t>
            </w:r>
          </w:p>
        </w:tc>
        <w:tc>
          <w:tcPr>
            <w:tcW w:type="dxa" w:w="2400"/>
            <w:shd w:fill="FFFFFF" w:val="clear"/>
            <w:tcMar>
              <w:top w:type="dxa" w:w="60"/>
              <w:left w:type="dxa" w:w="100"/>
              <w:bottom w:type="dxa" w:w="60"/>
              <w:right w:type="dxa" w:w="60"/>
            </w:tcMar>
          </w:tcPr>
          <w:p>
            <w:r>
              <w:rPr>
                <w:color w:val="000000"/>
                <w:sz w:val="18"/>
                <w:szCs w:val="18"/>
              </w:rPr>
              <w:t xml:space="preserve">UM_Users.AzureAdObjectId</w:t>
            </w:r>
          </w:p>
        </w:tc>
        <w:tc>
          <w:tcPr>
            <w:tcW w:type="dxa" w:w="5100"/>
            <w:shd w:fill="FFFFFF" w:val="clear"/>
            <w:tcMar>
              <w:top w:type="dxa" w:w="60"/>
              <w:left w:type="dxa" w:w="100"/>
              <w:bottom w:type="dxa" w:w="60"/>
              <w:right w:type="dxa" w:w="60"/>
            </w:tcMar>
          </w:tcPr>
          <w:p>
            <w:r>
              <w:rPr>
                <w:color w:val="000000"/>
                <w:sz w:val="18"/>
                <w:szCs w:val="18"/>
              </w:rPr>
              <w:t xml:space="preserve">Primary identity link — immutable, unique per user across Entra</w:t>
            </w:r>
          </w:p>
        </w:tc>
      </w:tr>
      <w:tr>
        <w:tc>
          <w:tcPr>
            <w:tcW w:type="dxa" w:w="2000"/>
            <w:shd w:fill="F5F5F5" w:val="clear"/>
            <w:tcMar>
              <w:top w:type="dxa" w:w="60"/>
              <w:left w:type="dxa" w:w="100"/>
              <w:bottom w:type="dxa" w:w="60"/>
              <w:right w:type="dxa" w:w="60"/>
            </w:tcMar>
          </w:tcPr>
          <w:p>
            <w:r>
              <w:rPr>
                <w:color w:val="000000"/>
                <w:sz w:val="18"/>
                <w:szCs w:val="18"/>
              </w:rPr>
              <w:t xml:space="preserve">mail</w:t>
            </w:r>
          </w:p>
        </w:tc>
        <w:tc>
          <w:tcPr>
            <w:tcW w:type="dxa" w:w="2400"/>
            <w:shd w:fill="F5F5F5" w:val="clear"/>
            <w:tcMar>
              <w:top w:type="dxa" w:w="60"/>
              <w:left w:type="dxa" w:w="100"/>
              <w:bottom w:type="dxa" w:w="60"/>
              <w:right w:type="dxa" w:w="60"/>
            </w:tcMar>
          </w:tcPr>
          <w:p>
            <w:r>
              <w:rPr>
                <w:color w:val="000000"/>
                <w:sz w:val="18"/>
                <w:szCs w:val="18"/>
              </w:rPr>
              <w:t xml:space="preserve">UM_Users.Email</w:t>
            </w:r>
          </w:p>
        </w:tc>
        <w:tc>
          <w:tcPr>
            <w:tcW w:type="dxa" w:w="5100"/>
            <w:shd w:fill="F5F5F5" w:val="clear"/>
            <w:tcMar>
              <w:top w:type="dxa" w:w="60"/>
              <w:left w:type="dxa" w:w="100"/>
              <w:bottom w:type="dxa" w:w="60"/>
              <w:right w:type="dxa" w:w="60"/>
            </w:tcMar>
          </w:tcPr>
          <w:p>
            <w:r>
              <w:rPr>
                <w:color w:val="000000"/>
                <w:sz w:val="18"/>
                <w:szCs w:val="18"/>
              </w:rPr>
              <w:t xml:space="preserve">Communication and legacy matching for pre-existing accounts</w:t>
            </w:r>
          </w:p>
        </w:tc>
      </w:tr>
      <w:tr>
        <w:tc>
          <w:tcPr>
            <w:tcW w:type="dxa" w:w="2000"/>
            <w:shd w:fill="FFFFFF" w:val="clear"/>
            <w:tcMar>
              <w:top w:type="dxa" w:w="60"/>
              <w:left w:type="dxa" w:w="100"/>
              <w:bottom w:type="dxa" w:w="60"/>
              <w:right w:type="dxa" w:w="60"/>
            </w:tcMar>
          </w:tcPr>
          <w:p>
            <w:r>
              <w:rPr>
                <w:color w:val="000000"/>
                <w:sz w:val="18"/>
                <w:szCs w:val="18"/>
              </w:rPr>
              <w:t xml:space="preserve">displayName</w:t>
            </w:r>
          </w:p>
        </w:tc>
        <w:tc>
          <w:tcPr>
            <w:tcW w:type="dxa" w:w="2400"/>
            <w:shd w:fill="FFFFFF" w:val="clear"/>
            <w:tcMar>
              <w:top w:type="dxa" w:w="60"/>
              <w:left w:type="dxa" w:w="100"/>
              <w:bottom w:type="dxa" w:w="60"/>
              <w:right w:type="dxa" w:w="60"/>
            </w:tcMar>
          </w:tcPr>
          <w:p>
            <w:r>
              <w:rPr>
                <w:color w:val="000000"/>
                <w:sz w:val="18"/>
                <w:szCs w:val="18"/>
              </w:rPr>
              <w:t xml:space="preserve">UM_Users.DisplayName</w:t>
            </w:r>
          </w:p>
        </w:tc>
        <w:tc>
          <w:tcPr>
            <w:tcW w:type="dxa" w:w="5100"/>
            <w:shd w:fill="FFFFFF" w:val="clear"/>
            <w:tcMar>
              <w:top w:type="dxa" w:w="60"/>
              <w:left w:type="dxa" w:w="100"/>
              <w:bottom w:type="dxa" w:w="60"/>
              <w:right w:type="dxa" w:w="60"/>
            </w:tcMar>
          </w:tcPr>
          <w:p>
            <w:r>
              <w:rPr>
                <w:color w:val="000000"/>
                <w:sz w:val="18"/>
                <w:szCs w:val="18"/>
              </w:rPr>
              <w:t xml:space="preserve">Stored on JIT provisioning; refreshable from Graph on subsequent logins</w:t>
            </w:r>
          </w:p>
        </w:tc>
      </w:tr>
      <w:tr>
        <w:tc>
          <w:tcPr>
            <w:tcW w:type="dxa" w:w="2000"/>
            <w:shd w:fill="F5F5F5" w:val="clear"/>
            <w:tcMar>
              <w:top w:type="dxa" w:w="60"/>
              <w:left w:type="dxa" w:w="100"/>
              <w:bottom w:type="dxa" w:w="60"/>
              <w:right w:type="dxa" w:w="60"/>
            </w:tcMar>
          </w:tcPr>
          <w:p>
            <w:r>
              <w:rPr>
                <w:color w:val="000000"/>
                <w:sz w:val="18"/>
                <w:szCs w:val="18"/>
              </w:rPr>
              <w:t xml:space="preserve">jobTitle</w:t>
            </w:r>
          </w:p>
        </w:tc>
        <w:tc>
          <w:tcPr>
            <w:tcW w:type="dxa" w:w="2400"/>
            <w:shd w:fill="F5F5F5" w:val="clear"/>
            <w:tcMar>
              <w:top w:type="dxa" w:w="60"/>
              <w:left w:type="dxa" w:w="100"/>
              <w:bottom w:type="dxa" w:w="60"/>
              <w:right w:type="dxa" w:w="60"/>
            </w:tcMar>
          </w:tcPr>
          <w:p>
            <w:r>
              <w:rPr>
                <w:color w:val="000000"/>
                <w:sz w:val="18"/>
                <w:szCs w:val="18"/>
              </w:rPr>
              <w:t xml:space="preserve">Not persisted</w:t>
            </w:r>
          </w:p>
        </w:tc>
        <w:tc>
          <w:tcPr>
            <w:tcW w:type="dxa" w:w="5100"/>
            <w:shd w:fill="F5F5F5" w:val="clear"/>
            <w:tcMar>
              <w:top w:type="dxa" w:w="60"/>
              <w:left w:type="dxa" w:w="100"/>
              <w:bottom w:type="dxa" w:w="60"/>
              <w:right w:type="dxa" w:w="60"/>
            </w:tcMar>
          </w:tcPr>
          <w:p>
            <w:r>
              <w:rPr>
                <w:color w:val="000000"/>
                <w:sz w:val="18"/>
                <w:szCs w:val="18"/>
              </w:rPr>
              <w:t xml:space="preserve">Shown in UI profile panel only; fetched live from Graph</w:t>
            </w:r>
          </w:p>
        </w:tc>
      </w:tr>
      <w:tr>
        <w:tc>
          <w:tcPr>
            <w:tcW w:type="dxa" w:w="2000"/>
            <w:shd w:fill="FFFFFF" w:val="clear"/>
            <w:tcMar>
              <w:top w:type="dxa" w:w="60"/>
              <w:left w:type="dxa" w:w="100"/>
              <w:bottom w:type="dxa" w:w="60"/>
              <w:right w:type="dxa" w:w="60"/>
            </w:tcMar>
          </w:tcPr>
          <w:p>
            <w:r>
              <w:rPr>
                <w:color w:val="000000"/>
                <w:sz w:val="18"/>
                <w:szCs w:val="18"/>
              </w:rPr>
              <w:t xml:space="preserve">department</w:t>
            </w:r>
          </w:p>
        </w:tc>
        <w:tc>
          <w:tcPr>
            <w:tcW w:type="dxa" w:w="2400"/>
            <w:shd w:fill="FFFFFF" w:val="clear"/>
            <w:tcMar>
              <w:top w:type="dxa" w:w="60"/>
              <w:left w:type="dxa" w:w="100"/>
              <w:bottom w:type="dxa" w:w="60"/>
              <w:right w:type="dxa" w:w="60"/>
            </w:tcMar>
          </w:tcPr>
          <w:p>
            <w:r>
              <w:rPr>
                <w:color w:val="000000"/>
                <w:sz w:val="18"/>
                <w:szCs w:val="18"/>
              </w:rPr>
              <w:t xml:space="preserve">Not persisted</w:t>
            </w:r>
          </w:p>
        </w:tc>
        <w:tc>
          <w:tcPr>
            <w:tcW w:type="dxa" w:w="5100"/>
            <w:shd w:fill="FFFFFF" w:val="clear"/>
            <w:tcMar>
              <w:top w:type="dxa" w:w="60"/>
              <w:left w:type="dxa" w:w="100"/>
              <w:bottom w:type="dxa" w:w="60"/>
              <w:right w:type="dxa" w:w="60"/>
            </w:tcMar>
          </w:tcPr>
          <w:p>
            <w:r>
              <w:rPr>
                <w:color w:val="000000"/>
                <w:sz w:val="18"/>
                <w:szCs w:val="18"/>
              </w:rPr>
              <w:t xml:space="preserve">Shown in UI profile panel only</w:t>
            </w:r>
          </w:p>
        </w:tc>
      </w:tr>
      <w:tr>
        <w:tc>
          <w:tcPr>
            <w:tcW w:type="dxa" w:w="2000"/>
            <w:shd w:fill="F5F5F5" w:val="clear"/>
            <w:tcMar>
              <w:top w:type="dxa" w:w="60"/>
              <w:left w:type="dxa" w:w="100"/>
              <w:bottom w:type="dxa" w:w="60"/>
              <w:right w:type="dxa" w:w="60"/>
            </w:tcMar>
          </w:tcPr>
          <w:p>
            <w:r>
              <w:rPr>
                <w:color w:val="000000"/>
                <w:sz w:val="18"/>
                <w:szCs w:val="18"/>
              </w:rPr>
              <w:t xml:space="preserve">manager.displayName</w:t>
            </w:r>
          </w:p>
        </w:tc>
        <w:tc>
          <w:tcPr>
            <w:tcW w:type="dxa" w:w="2400"/>
            <w:shd w:fill="F5F5F5" w:val="clear"/>
            <w:tcMar>
              <w:top w:type="dxa" w:w="60"/>
              <w:left w:type="dxa" w:w="100"/>
              <w:bottom w:type="dxa" w:w="60"/>
              <w:right w:type="dxa" w:w="60"/>
            </w:tcMar>
          </w:tcPr>
          <w:p>
            <w:r>
              <w:rPr>
                <w:color w:val="000000"/>
                <w:sz w:val="18"/>
                <w:szCs w:val="18"/>
              </w:rPr>
              <w:t xml:space="preserve">Not persisted</w:t>
            </w:r>
          </w:p>
        </w:tc>
        <w:tc>
          <w:tcPr>
            <w:tcW w:type="dxa" w:w="5100"/>
            <w:shd w:fill="F5F5F5" w:val="clear"/>
            <w:tcMar>
              <w:top w:type="dxa" w:w="60"/>
              <w:left w:type="dxa" w:w="100"/>
              <w:bottom w:type="dxa" w:w="60"/>
              <w:right w:type="dxa" w:w="60"/>
            </w:tcMar>
          </w:tcPr>
          <w:p>
            <w:r>
              <w:rPr>
                <w:color w:val="000000"/>
                <w:sz w:val="18"/>
                <w:szCs w:val="18"/>
              </w:rPr>
              <w:t xml:space="preserve">Shown in UI profile panel only</w:t>
            </w:r>
          </w:p>
        </w:tc>
      </w:tr>
    </w:tbl>
    <w:p/>
    <w:p>
      <w:pPr>
        <w:pStyle w:val="Heading2"/>
        <w:spacing w:after="120" w:before="320"/>
      </w:pPr>
      <w:r>
        <w:t xml:space="preserve">7.5  Entra Security Group Naming Convention</w:t>
      </w:r>
    </w:p>
    <w:p>
      <w:pPr>
        <w:spacing w:after="60" w:before="60"/>
        <w:jc w:val="left"/>
      </w:pPr>
      <w:r>
        <w:rPr>
          <w:b w:val="false"/>
          <w:bCs w:val="false"/>
          <w:i w:val="false"/>
          <w:iCs w:val="false"/>
          <w:color w:val="000000"/>
          <w:sz w:val="20"/>
          <w:szCs w:val="20"/>
        </w:rPr>
        <w:t xml:space="preserve">IT administrators must follow this naming convention exactly when creating Entra security groups for IMP role assignments:</w:t>
      </w:r>
    </w:p>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Pattern:  SG-APPCINTERVENTIONS-{ENV}-{ROLE}</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Examples:</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SG-APPCINTERVENTIONS-DEV-ADMIN</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SG-APPCINTERVENTIONS-DEV-APPROVER</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SG-APPCINTERVENTIONS-DEV-SITEMANAGER</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SG-APPCINTERVENTIONS-DEV-REQUESTER</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SG-APPCINTERVENTIONS-UAT-APPROVER</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SG-APPCINTERVENTIONS-PROD-ADMIN</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ENV values: DEV | UAT | PROD  (LOCAL maps to DEV)</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ROLE values: ADMIN | APPROVER | SITEMANAGER | REQUESTER | DEVELOPER</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Known IT Typo: REQUESTOR (with O) is normalised to REQUESTER (with E)</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at the authentication gateway — see AuthenticationServiceExtensions.cs</w:t>
      </w:r>
    </w:p>
    <w:p>
      <w:r>
        <w:br w:type="page"/>
      </w:r>
    </w:p>
    <w:tbl>
      <w:tblPr>
        <w:tblW w:type="pct" w:w="100%"/>
        <w:tblBorders>
          <w:top w:val="none"/>
          <w:left w:val="none"/>
          <w:bottom w:val="none"/>
          <w:right w:val="none"/>
          <w:insideH w:val="single" w:color="auto" w:sz="4"/>
          <w:insideV w:val="single" w:color="auto" w:sz="4"/>
        </w:tblBorders>
      </w:tblPr>
      <w:tblGrid>
        <w:gridCol w:w="1200"/>
        <w:gridCol w:w="8300"/>
      </w:tblGrid>
      <w:tr>
        <w:tc>
          <w:tcPr>
            <w:tcW w:type="dxa" w:w="1200"/>
            <w:shd w:fill="0D2B5C" w:val="clear"/>
            <w:tcMar>
              <w:top w:type="dxa" w:w="100"/>
              <w:left w:type="dxa" w:w="120"/>
              <w:bottom w:type="dxa" w:w="100"/>
              <w:right w:type="dxa" w:w="60"/>
            </w:tcMar>
            <w:vAlign w:val="center"/>
          </w:tcPr>
          <w:p>
            <w:pPr>
              <w:jc w:val="center"/>
            </w:pPr>
            <w:r>
              <w:rPr>
                <w:rFonts w:ascii="Calibri" w:cs="Calibri" w:eastAsia="Calibri" w:hAnsi="Calibri"/>
                <w:b/>
                <w:bCs/>
                <w:color w:val="FFFFFF"/>
                <w:sz w:val="32"/>
                <w:szCs w:val="32"/>
              </w:rPr>
              <w:t xml:space="preserve">§8</w:t>
            </w:r>
          </w:p>
        </w:tc>
        <w:tc>
          <w:tcPr>
            <w:tcW w:type="dxa" w:w="8300"/>
            <w:shd w:fill="E3EEF9" w:val="clear"/>
            <w:tcMar>
              <w:top w:type="dxa" w:w="80"/>
              <w:left w:type="dxa" w:w="160"/>
              <w:bottom w:type="dxa" w:w="80"/>
              <w:right w:type="dxa" w:w="80"/>
            </w:tcMar>
          </w:tcPr>
          <w:p>
            <w:pPr>
              <w:spacing w:after="40" w:before="0"/>
            </w:pPr>
            <w:r>
              <w:rPr>
                <w:rFonts w:ascii="Calibri" w:cs="Calibri" w:eastAsia="Calibri" w:hAnsi="Calibri"/>
                <w:b/>
                <w:bCs/>
                <w:color w:val="0D2B5C"/>
                <w:sz w:val="26"/>
                <w:szCs w:val="26"/>
              </w:rPr>
              <w:t xml:space="preserve">UI Application Architecture  —  MVC Gateway</w:t>
            </w:r>
          </w:p>
          <w:p>
            <w:pPr>
              <w:spacing w:after="0" w:before="0"/>
            </w:pPr>
            <w:r>
              <w:rPr>
                <w:i/>
                <w:iCs/>
                <w:color w:val="006DA3"/>
                <w:sz w:val="18"/>
                <w:szCs w:val="18"/>
              </w:rPr>
              <w:t xml:space="preserve">Authentication pipeline, token handler, claims transformer</w:t>
            </w:r>
          </w:p>
        </w:tc>
      </w:tr>
    </w:tbl>
    <w:p/>
    <w:p>
      <w:pPr>
        <w:pStyle w:val="Heading2"/>
        <w:spacing w:after="120" w:before="320"/>
      </w:pPr>
      <w:r>
        <w:t xml:space="preserve">8.1  Authentication Pipeline Components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2000"/>
        <w:gridCol w:w="2800"/>
        <w:gridCol w:w="4700"/>
      </w:tblGrid>
      <w:tr>
        <w:trPr>
          <w:tblHeader/>
        </w:trPr>
        <w:tc>
          <w:tcPr>
            <w:tcW w:type="dxa" w:w="2000"/>
            <w:shd w:fill="0D2B5C" w:val="clear"/>
            <w:tcMar>
              <w:top w:type="dxa" w:w="60"/>
              <w:left w:type="dxa" w:w="100"/>
              <w:bottom w:type="dxa" w:w="60"/>
              <w:right w:type="dxa" w:w="60"/>
            </w:tcMar>
          </w:tcPr>
          <w:p>
            <w:r>
              <w:rPr>
                <w:b/>
                <w:bCs/>
                <w:color w:val="FFFFFF"/>
                <w:sz w:val="18"/>
                <w:szCs w:val="18"/>
              </w:rPr>
              <w:t xml:space="preserve">Component</w:t>
            </w:r>
          </w:p>
        </w:tc>
        <w:tc>
          <w:tcPr>
            <w:tcW w:type="dxa" w:w="2800"/>
            <w:shd w:fill="0D2B5C" w:val="clear"/>
            <w:tcMar>
              <w:top w:type="dxa" w:w="60"/>
              <w:left w:type="dxa" w:w="100"/>
              <w:bottom w:type="dxa" w:w="60"/>
              <w:right w:type="dxa" w:w="60"/>
            </w:tcMar>
          </w:tcPr>
          <w:p>
            <w:r>
              <w:rPr>
                <w:b/>
                <w:bCs/>
                <w:color w:val="FFFFFF"/>
                <w:sz w:val="18"/>
                <w:szCs w:val="18"/>
              </w:rPr>
              <w:t xml:space="preserve">File</w:t>
            </w:r>
          </w:p>
        </w:tc>
        <w:tc>
          <w:tcPr>
            <w:tcW w:type="dxa" w:w="4700"/>
            <w:shd w:fill="0D2B5C" w:val="clear"/>
            <w:tcMar>
              <w:top w:type="dxa" w:w="60"/>
              <w:left w:type="dxa" w:w="100"/>
              <w:bottom w:type="dxa" w:w="60"/>
              <w:right w:type="dxa" w:w="60"/>
            </w:tcMar>
          </w:tcPr>
          <w:p>
            <w:r>
              <w:rPr>
                <w:b/>
                <w:bCs/>
                <w:color w:val="FFFFFF"/>
                <w:sz w:val="18"/>
                <w:szCs w:val="18"/>
              </w:rPr>
              <w:t xml:space="preserve">Responsibility</w:t>
            </w:r>
          </w:p>
        </w:tc>
      </w:tr>
      <w:tr>
        <w:tc>
          <w:tcPr>
            <w:tcW w:type="dxa" w:w="2000"/>
            <w:shd w:fill="FFFFFF" w:val="clear"/>
            <w:tcMar>
              <w:top w:type="dxa" w:w="60"/>
              <w:left w:type="dxa" w:w="100"/>
              <w:bottom w:type="dxa" w:w="60"/>
              <w:right w:type="dxa" w:w="60"/>
            </w:tcMar>
          </w:tcPr>
          <w:p>
            <w:r>
              <w:rPr>
                <w:color w:val="000000"/>
                <w:sz w:val="18"/>
                <w:szCs w:val="18"/>
              </w:rPr>
              <w:t xml:space="preserve">Dual-Auth Setup</w:t>
            </w:r>
          </w:p>
        </w:tc>
        <w:tc>
          <w:tcPr>
            <w:tcW w:type="dxa" w:w="2800"/>
            <w:shd w:fill="FFFFFF" w:val="clear"/>
            <w:tcMar>
              <w:top w:type="dxa" w:w="60"/>
              <w:left w:type="dxa" w:w="100"/>
              <w:bottom w:type="dxa" w:w="60"/>
              <w:right w:type="dxa" w:w="60"/>
            </w:tcMar>
          </w:tcPr>
          <w:p>
            <w:r>
              <w:rPr>
                <w:color w:val="000000"/>
                <w:sz w:val="18"/>
                <w:szCs w:val="18"/>
              </w:rPr>
              <w:t xml:space="preserve">AuthenticationServiceExtensions.cs</w:t>
            </w:r>
          </w:p>
        </w:tc>
        <w:tc>
          <w:tcPr>
            <w:tcW w:type="dxa" w:w="4700"/>
            <w:shd w:fill="FFFFFF" w:val="clear"/>
            <w:tcMar>
              <w:top w:type="dxa" w:w="60"/>
              <w:left w:type="dxa" w:w="100"/>
              <w:bottom w:type="dxa" w:w="60"/>
              <w:right w:type="dxa" w:w="60"/>
            </w:tcMar>
          </w:tcPr>
          <w:p>
            <w:r>
              <w:rPr>
                <w:color w:val="000000"/>
                <w:sz w:val="18"/>
                <w:szCs w:val="18"/>
              </w:rPr>
              <w:t xml:space="preserve">Registers OIDC + Cookie auth. OnTokenValidated fires Graph lookup and seeds role cache.</w:t>
            </w:r>
          </w:p>
        </w:tc>
      </w:tr>
      <w:tr>
        <w:tc>
          <w:tcPr>
            <w:tcW w:type="dxa" w:w="2000"/>
            <w:shd w:fill="F5F5F5" w:val="clear"/>
            <w:tcMar>
              <w:top w:type="dxa" w:w="60"/>
              <w:left w:type="dxa" w:w="100"/>
              <w:bottom w:type="dxa" w:w="60"/>
              <w:right w:type="dxa" w:w="60"/>
            </w:tcMar>
          </w:tcPr>
          <w:p>
            <w:r>
              <w:rPr>
                <w:color w:val="000000"/>
                <w:sz w:val="18"/>
                <w:szCs w:val="18"/>
              </w:rPr>
              <w:t xml:space="preserve">Outbound Token Handler</w:t>
            </w:r>
          </w:p>
        </w:tc>
        <w:tc>
          <w:tcPr>
            <w:tcW w:type="dxa" w:w="2800"/>
            <w:shd w:fill="F5F5F5" w:val="clear"/>
            <w:tcMar>
              <w:top w:type="dxa" w:w="60"/>
              <w:left w:type="dxa" w:w="100"/>
              <w:bottom w:type="dxa" w:w="60"/>
              <w:right w:type="dxa" w:w="60"/>
            </w:tcMar>
          </w:tcPr>
          <w:p>
            <w:r>
              <w:rPr>
                <w:color w:val="000000"/>
                <w:sz w:val="18"/>
                <w:szCs w:val="18"/>
              </w:rPr>
              <w:t xml:space="preserve">AuthTokenHandler.cs</w:t>
            </w:r>
          </w:p>
        </w:tc>
        <w:tc>
          <w:tcPr>
            <w:tcW w:type="dxa" w:w="4700"/>
            <w:shd w:fill="F5F5F5" w:val="clear"/>
            <w:tcMar>
              <w:top w:type="dxa" w:w="60"/>
              <w:left w:type="dxa" w:w="100"/>
              <w:bottom w:type="dxa" w:w="60"/>
              <w:right w:type="dxa" w:w="60"/>
            </w:tcMar>
          </w:tcPr>
          <w:p>
            <w:r>
              <w:rPr>
                <w:color w:val="000000"/>
                <w:sz w:val="18"/>
                <w:szCs w:val="18"/>
              </w:rPr>
              <w:t xml:space="preserve">DelegatingHandler that injects Bearer JWT and X-Entra-App-Roles header on all API calls.</w:t>
            </w:r>
          </w:p>
        </w:tc>
      </w:tr>
      <w:tr>
        <w:tc>
          <w:tcPr>
            <w:tcW w:type="dxa" w:w="2000"/>
            <w:shd w:fill="FFFFFF" w:val="clear"/>
            <w:tcMar>
              <w:top w:type="dxa" w:w="60"/>
              <w:left w:type="dxa" w:w="100"/>
              <w:bottom w:type="dxa" w:w="60"/>
              <w:right w:type="dxa" w:w="60"/>
            </w:tcMar>
          </w:tcPr>
          <w:p>
            <w:r>
              <w:rPr>
                <w:color w:val="000000"/>
                <w:sz w:val="18"/>
                <w:szCs w:val="18"/>
              </w:rPr>
              <w:t xml:space="preserve">Claims Transformer</w:t>
            </w:r>
          </w:p>
        </w:tc>
        <w:tc>
          <w:tcPr>
            <w:tcW w:type="dxa" w:w="2800"/>
            <w:shd w:fill="FFFFFF" w:val="clear"/>
            <w:tcMar>
              <w:top w:type="dxa" w:w="60"/>
              <w:left w:type="dxa" w:w="100"/>
              <w:bottom w:type="dxa" w:w="60"/>
              <w:right w:type="dxa" w:w="60"/>
            </w:tcMar>
          </w:tcPr>
          <w:p>
            <w:r>
              <w:rPr>
                <w:color w:val="000000"/>
                <w:sz w:val="18"/>
                <w:szCs w:val="18"/>
              </w:rPr>
              <w:t xml:space="preserve">UiRbacClaimsTransformer.cs</w:t>
            </w:r>
          </w:p>
        </w:tc>
        <w:tc>
          <w:tcPr>
            <w:tcW w:type="dxa" w:w="4700"/>
            <w:shd w:fill="FFFFFF" w:val="clear"/>
            <w:tcMar>
              <w:top w:type="dxa" w:w="60"/>
              <w:left w:type="dxa" w:w="100"/>
              <w:bottom w:type="dxa" w:w="60"/>
              <w:right w:type="dxa" w:w="60"/>
            </w:tcMar>
          </w:tcPr>
          <w:p>
            <w:r>
              <w:rPr>
                <w:color w:val="000000"/>
                <w:sz w:val="18"/>
                <w:szCs w:val="18"/>
              </w:rPr>
              <w:t xml:space="preserve">Calls /api/me, receives UserProfileDto, injects DB roles and permissions as claims. Short-lived cache for fallback profiles.</w:t>
            </w:r>
          </w:p>
        </w:tc>
      </w:tr>
    </w:tbl>
    <w:p/>
    <w:p>
      <w:pPr>
        <w:pStyle w:val="Heading2"/>
        <w:spacing w:after="120" w:before="320"/>
      </w:pPr>
      <w:r>
        <w:t xml:space="preserve">8.2  Feature Flag: EnableSSO</w:t>
      </w:r>
    </w:p>
    <w:p>
      <w:pPr>
        <w:spacing w:after="60" w:before="60"/>
        <w:jc w:val="left"/>
      </w:pPr>
      <w:r>
        <w:rPr>
          <w:b w:val="false"/>
          <w:bCs w:val="false"/>
          <w:i w:val="false"/>
          <w:iCs w:val="false"/>
          <w:color w:val="000000"/>
          <w:sz w:val="20"/>
          <w:szCs w:val="20"/>
        </w:rPr>
        <w:t xml:space="preserve">The dual-auth pipeline is controlled by a configuration flag. This allows local developer builds to run with traditional cookie auth while all deployed environments use SSO:</w:t>
      </w:r>
    </w:p>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Local: appsettings.Development.json</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"AuthenticationFeatures": { "EnableSSO": false }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Azure App Service (all deployed envs): Sticky App Setting</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AuthenticationFeatures__EnableSSO = true</w:t>
      </w:r>
    </w:p>
    <w:p/>
    <w:p>
      <w:pPr>
        <w:pStyle w:val="Heading2"/>
        <w:spacing w:after="120" w:before="320"/>
      </w:pPr>
      <w:r>
        <w:t xml:space="preserve">8.3  Stale Cache Protection</w:t>
      </w:r>
    </w:p>
    <w:p>
      <w:pPr>
        <w:spacing w:after="60" w:before="60"/>
        <w:jc w:val="left"/>
      </w:pPr>
      <w:r>
        <w:rPr>
          <w:b w:val="false"/>
          <w:bCs w:val="false"/>
          <w:i w:val="false"/>
          <w:iCs w:val="false"/>
          <w:color w:val="000000"/>
          <w:sz w:val="20"/>
          <w:szCs w:val="20"/>
        </w:rPr>
        <w:t xml:space="preserve">The UiRbacClaimsTransformer detects if the API returns a fallback REQUESTER-only profile (indicating the self-healing sync has not yet completed) and sets a 5-second cache TTL instead of the standard 60 minutes. This ensures the next request re-fetches the upgraded profile:</w:t>
      </w:r>
    </w:p>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FIX 2: Stale Cache Lifespan Guard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bool isFallback = profile.Roles != null &amp;&amp;</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profile.Roles.Contains("REQUESTER") &amp;&amp; profile.Roles.Count == 1;</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if (isFallback)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cacheOptions.SetAbsoluteExpiration(TimeSpan.FromSeconds(5));</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Forces retry on next request — picks up elevated role from Path B sync</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else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cacheOptions.SetAbsoluteExpiration(TimeSpan.FromMinutes(60));</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w:t>
      </w:r>
    </w:p>
    <w:p>
      <w:r>
        <w:br w:type="page"/>
      </w:r>
    </w:p>
    <w:tbl>
      <w:tblPr>
        <w:tblW w:type="pct" w:w="100%"/>
        <w:tblBorders>
          <w:top w:val="none"/>
          <w:left w:val="none"/>
          <w:bottom w:val="none"/>
          <w:right w:val="none"/>
          <w:insideH w:val="single" w:color="auto" w:sz="4"/>
          <w:insideV w:val="single" w:color="auto" w:sz="4"/>
        </w:tblBorders>
      </w:tblPr>
      <w:tblGrid>
        <w:gridCol w:w="1200"/>
        <w:gridCol w:w="8300"/>
      </w:tblGrid>
      <w:tr>
        <w:tc>
          <w:tcPr>
            <w:tcW w:type="dxa" w:w="1200"/>
            <w:shd w:fill="0D2B5C" w:val="clear"/>
            <w:tcMar>
              <w:top w:type="dxa" w:w="100"/>
              <w:left w:type="dxa" w:w="120"/>
              <w:bottom w:type="dxa" w:w="100"/>
              <w:right w:type="dxa" w:w="60"/>
            </w:tcMar>
            <w:vAlign w:val="center"/>
          </w:tcPr>
          <w:p>
            <w:pPr>
              <w:jc w:val="center"/>
            </w:pPr>
            <w:r>
              <w:rPr>
                <w:rFonts w:ascii="Calibri" w:cs="Calibri" w:eastAsia="Calibri" w:hAnsi="Calibri"/>
                <w:b/>
                <w:bCs/>
                <w:color w:val="FFFFFF"/>
                <w:sz w:val="32"/>
                <w:szCs w:val="32"/>
              </w:rPr>
              <w:t xml:space="preserve">§9</w:t>
            </w:r>
          </w:p>
        </w:tc>
        <w:tc>
          <w:tcPr>
            <w:tcW w:type="dxa" w:w="8300"/>
            <w:shd w:fill="E3EEF9" w:val="clear"/>
            <w:tcMar>
              <w:top w:type="dxa" w:w="80"/>
              <w:left w:type="dxa" w:w="160"/>
              <w:bottom w:type="dxa" w:w="80"/>
              <w:right w:type="dxa" w:w="80"/>
            </w:tcMar>
          </w:tcPr>
          <w:p>
            <w:pPr>
              <w:spacing w:after="40" w:before="0"/>
            </w:pPr>
            <w:r>
              <w:rPr>
                <w:rFonts w:ascii="Calibri" w:cs="Calibri" w:eastAsia="Calibri" w:hAnsi="Calibri"/>
                <w:b/>
                <w:bCs/>
                <w:color w:val="0D2B5C"/>
                <w:sz w:val="26"/>
                <w:szCs w:val="26"/>
              </w:rPr>
              <w:t xml:space="preserve">Backend API Architecture  —  Resource Server</w:t>
            </w:r>
          </w:p>
          <w:p>
            <w:pPr>
              <w:spacing w:after="0" w:before="0"/>
            </w:pPr>
            <w:r>
              <w:rPr>
                <w:i/>
                <w:iCs/>
                <w:color w:val="006DA3"/>
                <w:sz w:val="18"/>
                <w:szCs w:val="18"/>
              </w:rPr>
              <w:t xml:space="preserve">JWT validation, claims transformer, Dapper repository</w:t>
            </w:r>
          </w:p>
        </w:tc>
      </w:tr>
    </w:tbl>
    <w:p/>
    <w:p>
      <w:pPr>
        <w:pStyle w:val="Heading2"/>
        <w:spacing w:after="120" w:before="320"/>
      </w:pPr>
      <w:r>
        <w:t xml:space="preserve">9.1  JWT Bearer Validation</w:t>
      </w:r>
    </w:p>
    <w:p>
      <w:pPr>
        <w:spacing w:after="60" w:before="60"/>
        <w:jc w:val="left"/>
      </w:pPr>
      <w:r>
        <w:rPr>
          <w:b w:val="false"/>
          <w:bCs w:val="false"/>
          <w:i w:val="false"/>
          <w:iCs w:val="false"/>
          <w:color w:val="000000"/>
          <w:sz w:val="20"/>
          <w:szCs w:val="20"/>
        </w:rPr>
        <w:t xml:space="preserve">The API uses Microsoft.Identity.Web to validate incoming JWT Bearer tokens. Validation checks: issuer (iss), audience (aud), signature (using Microsoft's public keys), and token expiry.</w:t>
      </w:r>
    </w:p>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Program.cs — API</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builder.Services.AddMicrosoftIdentityWebApiAuthentication(configuration, "AzureAd");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Audience validation: token aud claim must match api://&lt;API_CLIENT_ID&gt;</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Issuer validation:   token iss claim must match https://login.microsoftonline.com/&lt;TENANT_ID&gt;/v2.0</w:t>
      </w:r>
    </w:p>
    <w:p/>
    <w:p>
      <w:pPr>
        <w:pStyle w:val="Heading2"/>
        <w:spacing w:after="120" w:before="320"/>
      </w:pPr>
      <w:r>
        <w:t xml:space="preserve">9.2  EntraIdRbacClaimsTransformer</w:t>
      </w:r>
    </w:p>
    <w:p>
      <w:pPr>
        <w:spacing w:after="60" w:before="60"/>
        <w:jc w:val="left"/>
      </w:pPr>
      <w:r>
        <w:rPr>
          <w:b w:val="false"/>
          <w:bCs w:val="false"/>
          <w:i w:val="false"/>
          <w:iCs w:val="false"/>
          <w:color w:val="000000"/>
          <w:sz w:val="20"/>
          <w:szCs w:val="20"/>
        </w:rPr>
        <w:t xml:space="preserve">Executed on every authenticated API request. Reads the X-Entra-App-Roles custom header injected by the UI, queries the DB for the user record, executes JIT provisioning (Path A) or self-healing sync (Path B), then loads all permission codes and injects them as claims.</w:t>
      </w:r>
    </w:p>
    <w:p/>
    <w:p>
      <w:pPr>
        <w:pStyle w:val="Heading2"/>
        <w:spacing w:after="120" w:before="320"/>
      </w:pPr>
      <w:r>
        <w:t xml:space="preserve">9.3  AccountRepository (Dapper)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3000"/>
        <w:gridCol w:w="3500"/>
        <w:gridCol w:w="1500"/>
      </w:tblGrid>
      <w:tr>
        <w:trPr>
          <w:tblHeader/>
        </w:trPr>
        <w:tc>
          <w:tcPr>
            <w:tcW w:type="dxa" w:w="3000"/>
            <w:shd w:fill="0D2B5C" w:val="clear"/>
            <w:tcMar>
              <w:top w:type="dxa" w:w="60"/>
              <w:left w:type="dxa" w:w="100"/>
              <w:bottom w:type="dxa" w:w="60"/>
              <w:right w:type="dxa" w:w="60"/>
            </w:tcMar>
          </w:tcPr>
          <w:p>
            <w:r>
              <w:rPr>
                <w:b/>
                <w:bCs/>
                <w:color w:val="FFFFFF"/>
                <w:sz w:val="18"/>
                <w:szCs w:val="18"/>
              </w:rPr>
              <w:t xml:space="preserve">Method</w:t>
            </w:r>
          </w:p>
        </w:tc>
        <w:tc>
          <w:tcPr>
            <w:tcW w:type="dxa" w:w="3500"/>
            <w:shd w:fill="0D2B5C" w:val="clear"/>
            <w:tcMar>
              <w:top w:type="dxa" w:w="60"/>
              <w:left w:type="dxa" w:w="100"/>
              <w:bottom w:type="dxa" w:w="60"/>
              <w:right w:type="dxa" w:w="60"/>
            </w:tcMar>
          </w:tcPr>
          <w:p>
            <w:r>
              <w:rPr>
                <w:b/>
                <w:bCs/>
                <w:color w:val="FFFFFF"/>
                <w:sz w:val="18"/>
                <w:szCs w:val="18"/>
              </w:rPr>
              <w:t xml:space="preserve">SQL Operation</w:t>
            </w:r>
          </w:p>
        </w:tc>
        <w:tc>
          <w:tcPr>
            <w:tcW w:type="dxa" w:w="1500"/>
            <w:shd w:fill="0D2B5C" w:val="clear"/>
            <w:tcMar>
              <w:top w:type="dxa" w:w="60"/>
              <w:left w:type="dxa" w:w="100"/>
              <w:bottom w:type="dxa" w:w="60"/>
              <w:right w:type="dxa" w:w="60"/>
            </w:tcMar>
          </w:tcPr>
          <w:p>
            <w:r>
              <w:rPr>
                <w:b/>
                <w:bCs/>
                <w:color w:val="FFFFFF"/>
                <w:sz w:val="18"/>
                <w:szCs w:val="18"/>
              </w:rPr>
              <w:t xml:space="preserve">Transactional</w:t>
            </w:r>
          </w:p>
        </w:tc>
      </w:tr>
      <w:tr>
        <w:tc>
          <w:tcPr>
            <w:tcW w:type="dxa" w:w="3000"/>
            <w:shd w:fill="FFFFFF" w:val="clear"/>
            <w:tcMar>
              <w:top w:type="dxa" w:w="60"/>
              <w:left w:type="dxa" w:w="100"/>
              <w:bottom w:type="dxa" w:w="60"/>
              <w:right w:type="dxa" w:w="60"/>
            </w:tcMar>
          </w:tcPr>
          <w:p>
            <w:r>
              <w:rPr>
                <w:color w:val="000000"/>
                <w:sz w:val="18"/>
                <w:szCs w:val="18"/>
              </w:rPr>
              <w:t xml:space="preserve">GetDbUserByAzureAdObjectIdAsync</w:t>
            </w:r>
          </w:p>
        </w:tc>
        <w:tc>
          <w:tcPr>
            <w:tcW w:type="dxa" w:w="3500"/>
            <w:shd w:fill="FFFFFF" w:val="clear"/>
            <w:tcMar>
              <w:top w:type="dxa" w:w="60"/>
              <w:left w:type="dxa" w:w="100"/>
              <w:bottom w:type="dxa" w:w="60"/>
              <w:right w:type="dxa" w:w="60"/>
            </w:tcMar>
          </w:tcPr>
          <w:p>
            <w:r>
              <w:rPr>
                <w:color w:val="000000"/>
                <w:sz w:val="18"/>
                <w:szCs w:val="18"/>
              </w:rPr>
              <w:t xml:space="preserve">SELECT from UM_Users WHERE AzureAdObjectId = @OID</w:t>
            </w:r>
          </w:p>
        </w:tc>
        <w:tc>
          <w:tcPr>
            <w:tcW w:type="dxa" w:w="1500"/>
            <w:shd w:fill="FFFFFF" w:val="clear"/>
            <w:tcMar>
              <w:top w:type="dxa" w:w="60"/>
              <w:left w:type="dxa" w:w="100"/>
              <w:bottom w:type="dxa" w:w="60"/>
              <w:right w:type="dxa" w:w="60"/>
            </w:tcMar>
          </w:tcPr>
          <w:p>
            <w:r>
              <w:rPr>
                <w:color w:val="000000"/>
                <w:sz w:val="18"/>
                <w:szCs w:val="18"/>
              </w:rPr>
              <w:t xml:space="preserve">No</w:t>
            </w:r>
          </w:p>
        </w:tc>
      </w:tr>
      <w:tr>
        <w:tc>
          <w:tcPr>
            <w:tcW w:type="dxa" w:w="3000"/>
            <w:shd w:fill="F5F5F5" w:val="clear"/>
            <w:tcMar>
              <w:top w:type="dxa" w:w="60"/>
              <w:left w:type="dxa" w:w="100"/>
              <w:bottom w:type="dxa" w:w="60"/>
              <w:right w:type="dxa" w:w="60"/>
            </w:tcMar>
          </w:tcPr>
          <w:p>
            <w:r>
              <w:rPr>
                <w:color w:val="000000"/>
                <w:sz w:val="18"/>
                <w:szCs w:val="18"/>
              </w:rPr>
              <w:t xml:space="preserve">ProvisionEntraIdUserAsync</w:t>
            </w:r>
          </w:p>
        </w:tc>
        <w:tc>
          <w:tcPr>
            <w:tcW w:type="dxa" w:w="3500"/>
            <w:shd w:fill="F5F5F5" w:val="clear"/>
            <w:tcMar>
              <w:top w:type="dxa" w:w="60"/>
              <w:left w:type="dxa" w:w="100"/>
              <w:bottom w:type="dxa" w:w="60"/>
              <w:right w:type="dxa" w:w="60"/>
            </w:tcMar>
          </w:tcPr>
          <w:p>
            <w:r>
              <w:rPr>
                <w:color w:val="000000"/>
                <w:sz w:val="18"/>
                <w:szCs w:val="18"/>
              </w:rPr>
              <w:t xml:space="preserve">INSERT UM_Users + INSERT UM_UserRoles (with role lookup)</w:t>
            </w:r>
          </w:p>
        </w:tc>
        <w:tc>
          <w:tcPr>
            <w:tcW w:type="dxa" w:w="1500"/>
            <w:shd w:fill="F5F5F5" w:val="clear"/>
            <w:tcMar>
              <w:top w:type="dxa" w:w="60"/>
              <w:left w:type="dxa" w:w="100"/>
              <w:bottom w:type="dxa" w:w="60"/>
              <w:right w:type="dxa" w:w="60"/>
            </w:tcMar>
          </w:tcPr>
          <w:p>
            <w:r>
              <w:rPr>
                <w:color w:val="000000"/>
                <w:sz w:val="18"/>
                <w:szCs w:val="18"/>
              </w:rPr>
              <w:t xml:space="preserve">Yes — Rollback on failure</w:t>
            </w:r>
          </w:p>
        </w:tc>
      </w:tr>
      <w:tr>
        <w:tc>
          <w:tcPr>
            <w:tcW w:type="dxa" w:w="3000"/>
            <w:shd w:fill="FFFFFF" w:val="clear"/>
            <w:tcMar>
              <w:top w:type="dxa" w:w="60"/>
              <w:left w:type="dxa" w:w="100"/>
              <w:bottom w:type="dxa" w:w="60"/>
              <w:right w:type="dxa" w:w="60"/>
            </w:tcMar>
          </w:tcPr>
          <w:p>
            <w:r>
              <w:rPr>
                <w:color w:val="000000"/>
                <w:sz w:val="18"/>
                <w:szCs w:val="18"/>
              </w:rPr>
              <w:t xml:space="preserve">UpdateUserRolesFromEntraIdAsync</w:t>
            </w:r>
          </w:p>
        </w:tc>
        <w:tc>
          <w:tcPr>
            <w:tcW w:type="dxa" w:w="3500"/>
            <w:shd w:fill="FFFFFF" w:val="clear"/>
            <w:tcMar>
              <w:top w:type="dxa" w:w="60"/>
              <w:left w:type="dxa" w:w="100"/>
              <w:bottom w:type="dxa" w:w="60"/>
              <w:right w:type="dxa" w:w="60"/>
            </w:tcMar>
          </w:tcPr>
          <w:p>
            <w:r>
              <w:rPr>
                <w:color w:val="000000"/>
                <w:sz w:val="18"/>
                <w:szCs w:val="18"/>
              </w:rPr>
              <w:t xml:space="preserve">DELETE UM_UserRoles + INSERT new roles</w:t>
            </w:r>
          </w:p>
        </w:tc>
        <w:tc>
          <w:tcPr>
            <w:tcW w:type="dxa" w:w="1500"/>
            <w:shd w:fill="FFFFFF" w:val="clear"/>
            <w:tcMar>
              <w:top w:type="dxa" w:w="60"/>
              <w:left w:type="dxa" w:w="100"/>
              <w:bottom w:type="dxa" w:w="60"/>
              <w:right w:type="dxa" w:w="60"/>
            </w:tcMar>
          </w:tcPr>
          <w:p>
            <w:r>
              <w:rPr>
                <w:color w:val="000000"/>
                <w:sz w:val="18"/>
                <w:szCs w:val="18"/>
              </w:rPr>
              <w:t xml:space="preserve">Yes — Rollback on failure</w:t>
            </w:r>
          </w:p>
        </w:tc>
      </w:tr>
      <w:tr>
        <w:tc>
          <w:tcPr>
            <w:tcW w:type="dxa" w:w="3000"/>
            <w:shd w:fill="F5F5F5" w:val="clear"/>
            <w:tcMar>
              <w:top w:type="dxa" w:w="60"/>
              <w:left w:type="dxa" w:w="100"/>
              <w:bottom w:type="dxa" w:w="60"/>
              <w:right w:type="dxa" w:w="60"/>
            </w:tcMar>
          </w:tcPr>
          <w:p>
            <w:r>
              <w:rPr>
                <w:color w:val="000000"/>
                <w:sz w:val="18"/>
                <w:szCs w:val="18"/>
              </w:rPr>
              <w:t xml:space="preserve">GetPermissionCodesByAzureAdObjectIdAsync</w:t>
            </w:r>
          </w:p>
        </w:tc>
        <w:tc>
          <w:tcPr>
            <w:tcW w:type="dxa" w:w="3500"/>
            <w:shd w:fill="F5F5F5" w:val="clear"/>
            <w:tcMar>
              <w:top w:type="dxa" w:w="60"/>
              <w:left w:type="dxa" w:w="100"/>
              <w:bottom w:type="dxa" w:w="60"/>
              <w:right w:type="dxa" w:w="60"/>
            </w:tcMar>
          </w:tcPr>
          <w:p>
            <w:r>
              <w:rPr>
                <w:color w:val="000000"/>
                <w:sz w:val="18"/>
                <w:szCs w:val="18"/>
              </w:rPr>
              <w:t xml:space="preserve">JOIN UM_UserRoles → UM_RolePermissions → UM_Permissions</w:t>
            </w:r>
          </w:p>
        </w:tc>
        <w:tc>
          <w:tcPr>
            <w:tcW w:type="dxa" w:w="1500"/>
            <w:shd w:fill="F5F5F5" w:val="clear"/>
            <w:tcMar>
              <w:top w:type="dxa" w:w="60"/>
              <w:left w:type="dxa" w:w="100"/>
              <w:bottom w:type="dxa" w:w="60"/>
              <w:right w:type="dxa" w:w="60"/>
            </w:tcMar>
          </w:tcPr>
          <w:p>
            <w:r>
              <w:rPr>
                <w:color w:val="000000"/>
                <w:sz w:val="18"/>
                <w:szCs w:val="18"/>
              </w:rPr>
              <w:t xml:space="preserve">No</w:t>
            </w:r>
          </w:p>
        </w:tc>
      </w:tr>
    </w:tbl>
    <w:p>
      <w:r>
        <w:br w:type="page"/>
      </w:r>
    </w:p>
    <w:tbl>
      <w:tblPr>
        <w:tblW w:type="pct" w:w="100%"/>
        <w:tblBorders>
          <w:top w:val="none"/>
          <w:left w:val="none"/>
          <w:bottom w:val="none"/>
          <w:right w:val="none"/>
          <w:insideH w:val="single" w:color="auto" w:sz="4"/>
          <w:insideV w:val="single" w:color="auto" w:sz="4"/>
        </w:tblBorders>
      </w:tblPr>
      <w:tblGrid>
        <w:gridCol w:w="1200"/>
        <w:gridCol w:w="8300"/>
      </w:tblGrid>
      <w:tr>
        <w:tc>
          <w:tcPr>
            <w:tcW w:type="dxa" w:w="1200"/>
            <w:shd w:fill="0D2B5C" w:val="clear"/>
            <w:tcMar>
              <w:top w:type="dxa" w:w="100"/>
              <w:left w:type="dxa" w:w="120"/>
              <w:bottom w:type="dxa" w:w="100"/>
              <w:right w:type="dxa" w:w="60"/>
            </w:tcMar>
            <w:vAlign w:val="center"/>
          </w:tcPr>
          <w:p>
            <w:pPr>
              <w:jc w:val="center"/>
            </w:pPr>
            <w:r>
              <w:rPr>
                <w:rFonts w:ascii="Calibri" w:cs="Calibri" w:eastAsia="Calibri" w:hAnsi="Calibri"/>
                <w:b/>
                <w:bCs/>
                <w:color w:val="FFFFFF"/>
                <w:sz w:val="32"/>
                <w:szCs w:val="32"/>
              </w:rPr>
              <w:t xml:space="preserve">§10</w:t>
            </w:r>
          </w:p>
        </w:tc>
        <w:tc>
          <w:tcPr>
            <w:tcW w:type="dxa" w:w="8300"/>
            <w:shd w:fill="E3EEF9" w:val="clear"/>
            <w:tcMar>
              <w:top w:type="dxa" w:w="80"/>
              <w:left w:type="dxa" w:w="160"/>
              <w:bottom w:type="dxa" w:w="80"/>
              <w:right w:type="dxa" w:w="80"/>
            </w:tcMar>
          </w:tcPr>
          <w:p>
            <w:pPr>
              <w:spacing w:after="40" w:before="0"/>
            </w:pPr>
            <w:r>
              <w:rPr>
                <w:rFonts w:ascii="Calibri" w:cs="Calibri" w:eastAsia="Calibri" w:hAnsi="Calibri"/>
                <w:b/>
                <w:bCs/>
                <w:color w:val="0D2B5C"/>
                <w:sz w:val="26"/>
                <w:szCs w:val="26"/>
              </w:rPr>
              <w:t xml:space="preserve">Security Considerations</w:t>
            </w:r>
          </w:p>
          <w:p>
            <w:pPr>
              <w:spacing w:after="0" w:before="0"/>
            </w:pPr>
            <w:r>
              <w:rPr>
                <w:i/>
                <w:iCs/>
                <w:color w:val="006DA3"/>
                <w:sz w:val="18"/>
                <w:szCs w:val="18"/>
              </w:rPr>
              <w:t xml:space="preserve">Token security, session management, cookie hardening, and threat mitigations</w:t>
            </w:r>
          </w:p>
        </w:tc>
      </w:tr>
    </w:tbl>
    <w:p/>
    <w:p>
      <w:pPr>
        <w:pStyle w:val="Heading2"/>
        <w:spacing w:after="120" w:before="320"/>
      </w:pPr>
      <w:r>
        <w:t xml:space="preserve">10.1  Secret Management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2200"/>
        <w:gridCol w:w="2000"/>
        <w:gridCol w:w="2200"/>
        <w:gridCol w:w="3100"/>
      </w:tblGrid>
      <w:tr>
        <w:trPr>
          <w:tblHeader/>
        </w:trPr>
        <w:tc>
          <w:tcPr>
            <w:tcW w:type="dxa" w:w="2200"/>
            <w:shd w:fill="0D2B5C" w:val="clear"/>
            <w:tcMar>
              <w:top w:type="dxa" w:w="60"/>
              <w:left w:type="dxa" w:w="100"/>
              <w:bottom w:type="dxa" w:w="60"/>
              <w:right w:type="dxa" w:w="60"/>
            </w:tcMar>
          </w:tcPr>
          <w:p>
            <w:r>
              <w:rPr>
                <w:b/>
                <w:bCs/>
                <w:color w:val="FFFFFF"/>
                <w:sz w:val="18"/>
                <w:szCs w:val="18"/>
              </w:rPr>
              <w:t xml:space="preserve">Secret</w:t>
            </w:r>
          </w:p>
        </w:tc>
        <w:tc>
          <w:tcPr>
            <w:tcW w:type="dxa" w:w="2000"/>
            <w:shd w:fill="0D2B5C" w:val="clear"/>
            <w:tcMar>
              <w:top w:type="dxa" w:w="60"/>
              <w:left w:type="dxa" w:w="100"/>
              <w:bottom w:type="dxa" w:w="60"/>
              <w:right w:type="dxa" w:w="60"/>
            </w:tcMar>
          </w:tcPr>
          <w:p>
            <w:r>
              <w:rPr>
                <w:b/>
                <w:bCs/>
                <w:color w:val="FFFFFF"/>
                <w:sz w:val="18"/>
                <w:szCs w:val="18"/>
              </w:rPr>
              <w:t xml:space="preserve">Storage Location</w:t>
            </w:r>
          </w:p>
        </w:tc>
        <w:tc>
          <w:tcPr>
            <w:tcW w:type="dxa" w:w="2200"/>
            <w:shd w:fill="0D2B5C" w:val="clear"/>
            <w:tcMar>
              <w:top w:type="dxa" w:w="60"/>
              <w:left w:type="dxa" w:w="100"/>
              <w:bottom w:type="dxa" w:w="60"/>
              <w:right w:type="dxa" w:w="60"/>
            </w:tcMar>
          </w:tcPr>
          <w:p>
            <w:r>
              <w:rPr>
                <w:b/>
                <w:bCs/>
                <w:color w:val="FFFFFF"/>
                <w:sz w:val="18"/>
                <w:szCs w:val="18"/>
              </w:rPr>
              <w:t xml:space="preserve">Access Method</w:t>
            </w:r>
          </w:p>
        </w:tc>
        <w:tc>
          <w:tcPr>
            <w:tcW w:type="dxa" w:w="3100"/>
            <w:shd w:fill="0D2B5C" w:val="clear"/>
            <w:tcMar>
              <w:top w:type="dxa" w:w="60"/>
              <w:left w:type="dxa" w:w="100"/>
              <w:bottom w:type="dxa" w:w="60"/>
              <w:right w:type="dxa" w:w="60"/>
            </w:tcMar>
          </w:tcPr>
          <w:p>
            <w:r>
              <w:rPr>
                <w:b/>
                <w:bCs/>
                <w:color w:val="FFFFFF"/>
                <w:sz w:val="18"/>
                <w:szCs w:val="18"/>
              </w:rPr>
              <w:t xml:space="preserve">Rotation Policy</w:t>
            </w:r>
          </w:p>
        </w:tc>
      </w:tr>
      <w:tr>
        <w:tc>
          <w:tcPr>
            <w:tcW w:type="dxa" w:w="2200"/>
            <w:shd w:fill="FFFFFF" w:val="clear"/>
            <w:tcMar>
              <w:top w:type="dxa" w:w="60"/>
              <w:left w:type="dxa" w:w="100"/>
              <w:bottom w:type="dxa" w:w="60"/>
              <w:right w:type="dxa" w:w="60"/>
            </w:tcMar>
          </w:tcPr>
          <w:p>
            <w:r>
              <w:rPr>
                <w:color w:val="000000"/>
                <w:sz w:val="18"/>
                <w:szCs w:val="18"/>
              </w:rPr>
              <w:t xml:space="preserve">AzureAd:ClientSecret (UI)</w:t>
            </w:r>
          </w:p>
        </w:tc>
        <w:tc>
          <w:tcPr>
            <w:tcW w:type="dxa" w:w="2000"/>
            <w:shd w:fill="FFFFFF" w:val="clear"/>
            <w:tcMar>
              <w:top w:type="dxa" w:w="60"/>
              <w:left w:type="dxa" w:w="100"/>
              <w:bottom w:type="dxa" w:w="60"/>
              <w:right w:type="dxa" w:w="60"/>
            </w:tcMar>
          </w:tcPr>
          <w:p>
            <w:r>
              <w:rPr>
                <w:color w:val="000000"/>
                <w:sz w:val="18"/>
                <w:szCs w:val="18"/>
              </w:rPr>
              <w:t xml:space="preserve">Azure Key Vault (per env)</w:t>
            </w:r>
          </w:p>
        </w:tc>
        <w:tc>
          <w:tcPr>
            <w:tcW w:type="dxa" w:w="2200"/>
            <w:shd w:fill="FFFFFF" w:val="clear"/>
            <w:tcMar>
              <w:top w:type="dxa" w:w="60"/>
              <w:left w:type="dxa" w:w="100"/>
              <w:bottom w:type="dxa" w:w="60"/>
              <w:right w:type="dxa" w:w="60"/>
            </w:tcMar>
          </w:tcPr>
          <w:p>
            <w:r>
              <w:rPr>
                <w:color w:val="000000"/>
                <w:sz w:val="18"/>
                <w:szCs w:val="18"/>
              </w:rPr>
              <w:t xml:space="preserve">System-Assigned Managed Identity</w:t>
            </w:r>
          </w:p>
        </w:tc>
        <w:tc>
          <w:tcPr>
            <w:tcW w:type="dxa" w:w="3100"/>
            <w:shd w:fill="FFFFFF" w:val="clear"/>
            <w:tcMar>
              <w:top w:type="dxa" w:w="60"/>
              <w:left w:type="dxa" w:w="100"/>
              <w:bottom w:type="dxa" w:w="60"/>
              <w:right w:type="dxa" w:w="60"/>
            </w:tcMar>
          </w:tcPr>
          <w:p>
            <w:r>
              <w:rPr>
                <w:color w:val="000000"/>
                <w:sz w:val="18"/>
                <w:szCs w:val="18"/>
              </w:rPr>
              <w:t xml:space="preserve">Rotate every 12 months or on suspected compromise</w:t>
            </w:r>
          </w:p>
        </w:tc>
      </w:tr>
      <w:tr>
        <w:tc>
          <w:tcPr>
            <w:tcW w:type="dxa" w:w="2200"/>
            <w:shd w:fill="F5F5F5" w:val="clear"/>
            <w:tcMar>
              <w:top w:type="dxa" w:w="60"/>
              <w:left w:type="dxa" w:w="100"/>
              <w:bottom w:type="dxa" w:w="60"/>
              <w:right w:type="dxa" w:w="60"/>
            </w:tcMar>
          </w:tcPr>
          <w:p>
            <w:r>
              <w:rPr>
                <w:color w:val="000000"/>
                <w:sz w:val="18"/>
                <w:szCs w:val="18"/>
              </w:rPr>
              <w:t xml:space="preserve">SQL Connection String</w:t>
            </w:r>
          </w:p>
        </w:tc>
        <w:tc>
          <w:tcPr>
            <w:tcW w:type="dxa" w:w="2000"/>
            <w:shd w:fill="F5F5F5" w:val="clear"/>
            <w:tcMar>
              <w:top w:type="dxa" w:w="60"/>
              <w:left w:type="dxa" w:w="100"/>
              <w:bottom w:type="dxa" w:w="60"/>
              <w:right w:type="dxa" w:w="60"/>
            </w:tcMar>
          </w:tcPr>
          <w:p>
            <w:r>
              <w:rPr>
                <w:color w:val="000000"/>
                <w:sz w:val="18"/>
                <w:szCs w:val="18"/>
              </w:rPr>
              <w:t xml:space="preserve">Azure Key Vault (per env)</w:t>
            </w:r>
          </w:p>
        </w:tc>
        <w:tc>
          <w:tcPr>
            <w:tcW w:type="dxa" w:w="2200"/>
            <w:shd w:fill="F5F5F5" w:val="clear"/>
            <w:tcMar>
              <w:top w:type="dxa" w:w="60"/>
              <w:left w:type="dxa" w:w="100"/>
              <w:bottom w:type="dxa" w:w="60"/>
              <w:right w:type="dxa" w:w="60"/>
            </w:tcMar>
          </w:tcPr>
          <w:p>
            <w:r>
              <w:rPr>
                <w:color w:val="000000"/>
                <w:sz w:val="18"/>
                <w:szCs w:val="18"/>
              </w:rPr>
              <w:t xml:space="preserve">System-Assigned Managed Identity</w:t>
            </w:r>
          </w:p>
        </w:tc>
        <w:tc>
          <w:tcPr>
            <w:tcW w:type="dxa" w:w="3100"/>
            <w:shd w:fill="F5F5F5" w:val="clear"/>
            <w:tcMar>
              <w:top w:type="dxa" w:w="60"/>
              <w:left w:type="dxa" w:w="100"/>
              <w:bottom w:type="dxa" w:w="60"/>
              <w:right w:type="dxa" w:w="60"/>
            </w:tcMar>
          </w:tcPr>
          <w:p>
            <w:r>
              <w:rPr>
                <w:color w:val="000000"/>
                <w:sz w:val="18"/>
                <w:szCs w:val="18"/>
              </w:rPr>
              <w:t xml:space="preserve">Rotate on staff offboarding or quarterly</w:t>
            </w:r>
          </w:p>
        </w:tc>
      </w:tr>
      <w:tr>
        <w:tc>
          <w:tcPr>
            <w:tcW w:type="dxa" w:w="2200"/>
            <w:shd w:fill="FFFFFF" w:val="clear"/>
            <w:tcMar>
              <w:top w:type="dxa" w:w="60"/>
              <w:left w:type="dxa" w:w="100"/>
              <w:bottom w:type="dxa" w:w="60"/>
              <w:right w:type="dxa" w:w="60"/>
            </w:tcMar>
          </w:tcPr>
          <w:p>
            <w:r>
              <w:rPr>
                <w:color w:val="000000"/>
                <w:sz w:val="18"/>
                <w:szCs w:val="18"/>
              </w:rPr>
              <w:t xml:space="preserve">Redis Connection String</w:t>
            </w:r>
          </w:p>
        </w:tc>
        <w:tc>
          <w:tcPr>
            <w:tcW w:type="dxa" w:w="2000"/>
            <w:shd w:fill="FFFFFF" w:val="clear"/>
            <w:tcMar>
              <w:top w:type="dxa" w:w="60"/>
              <w:left w:type="dxa" w:w="100"/>
              <w:bottom w:type="dxa" w:w="60"/>
              <w:right w:type="dxa" w:w="60"/>
            </w:tcMar>
          </w:tcPr>
          <w:p>
            <w:r>
              <w:rPr>
                <w:color w:val="000000"/>
                <w:sz w:val="18"/>
                <w:szCs w:val="18"/>
              </w:rPr>
              <w:t xml:space="preserve">Azure Key Vault (per env)</w:t>
            </w:r>
          </w:p>
        </w:tc>
        <w:tc>
          <w:tcPr>
            <w:tcW w:type="dxa" w:w="2200"/>
            <w:shd w:fill="FFFFFF" w:val="clear"/>
            <w:tcMar>
              <w:top w:type="dxa" w:w="60"/>
              <w:left w:type="dxa" w:w="100"/>
              <w:bottom w:type="dxa" w:w="60"/>
              <w:right w:type="dxa" w:w="60"/>
            </w:tcMar>
          </w:tcPr>
          <w:p>
            <w:r>
              <w:rPr>
                <w:color w:val="000000"/>
                <w:sz w:val="18"/>
                <w:szCs w:val="18"/>
              </w:rPr>
              <w:t xml:space="preserve">System-Assigned Managed Identity</w:t>
            </w:r>
          </w:p>
        </w:tc>
        <w:tc>
          <w:tcPr>
            <w:tcW w:type="dxa" w:w="3100"/>
            <w:shd w:fill="FFFFFF" w:val="clear"/>
            <w:tcMar>
              <w:top w:type="dxa" w:w="60"/>
              <w:left w:type="dxa" w:w="100"/>
              <w:bottom w:type="dxa" w:w="60"/>
              <w:right w:type="dxa" w:w="60"/>
            </w:tcMar>
          </w:tcPr>
          <w:p>
            <w:r>
              <w:rPr>
                <w:color w:val="000000"/>
                <w:sz w:val="18"/>
                <w:szCs w:val="18"/>
              </w:rPr>
              <w:t xml:space="preserve">Rotate every 12 months</w:t>
            </w:r>
          </w:p>
        </w:tc>
      </w:tr>
      <w:tr>
        <w:tc>
          <w:tcPr>
            <w:tcW w:type="dxa" w:w="2200"/>
            <w:shd w:fill="F5F5F5" w:val="clear"/>
            <w:tcMar>
              <w:top w:type="dxa" w:w="60"/>
              <w:left w:type="dxa" w:w="100"/>
              <w:bottom w:type="dxa" w:w="60"/>
              <w:right w:type="dxa" w:w="60"/>
            </w:tcMar>
          </w:tcPr>
          <w:p>
            <w:r>
              <w:rPr>
                <w:color w:val="000000"/>
                <w:sz w:val="18"/>
                <w:szCs w:val="18"/>
              </w:rPr>
              <w:t xml:space="preserve">Graph API Token</w:t>
            </w:r>
          </w:p>
        </w:tc>
        <w:tc>
          <w:tcPr>
            <w:tcW w:type="dxa" w:w="2000"/>
            <w:shd w:fill="F5F5F5" w:val="clear"/>
            <w:tcMar>
              <w:top w:type="dxa" w:w="60"/>
              <w:left w:type="dxa" w:w="100"/>
              <w:bottom w:type="dxa" w:w="60"/>
              <w:right w:type="dxa" w:w="60"/>
            </w:tcMar>
          </w:tcPr>
          <w:p>
            <w:r>
              <w:rPr>
                <w:color w:val="000000"/>
                <w:sz w:val="18"/>
                <w:szCs w:val="18"/>
              </w:rPr>
              <w:t xml:space="preserve">In-memory only (IMemoryCache)</w:t>
            </w:r>
          </w:p>
        </w:tc>
        <w:tc>
          <w:tcPr>
            <w:tcW w:type="dxa" w:w="2200"/>
            <w:shd w:fill="F5F5F5" w:val="clear"/>
            <w:tcMar>
              <w:top w:type="dxa" w:w="60"/>
              <w:left w:type="dxa" w:w="100"/>
              <w:bottom w:type="dxa" w:w="60"/>
              <w:right w:type="dxa" w:w="60"/>
            </w:tcMar>
          </w:tcPr>
          <w:p>
            <w:r>
              <w:rPr>
                <w:color w:val="000000"/>
                <w:sz w:val="18"/>
                <w:szCs w:val="18"/>
              </w:rPr>
              <w:t xml:space="preserve">MSAL token acquisition at runtime</w:t>
            </w:r>
          </w:p>
        </w:tc>
        <w:tc>
          <w:tcPr>
            <w:tcW w:type="dxa" w:w="3100"/>
            <w:shd w:fill="F5F5F5" w:val="clear"/>
            <w:tcMar>
              <w:top w:type="dxa" w:w="60"/>
              <w:left w:type="dxa" w:w="100"/>
              <w:bottom w:type="dxa" w:w="60"/>
              <w:right w:type="dxa" w:w="60"/>
            </w:tcMar>
          </w:tcPr>
          <w:p>
            <w:r>
              <w:rPr>
                <w:color w:val="000000"/>
                <w:sz w:val="18"/>
                <w:szCs w:val="18"/>
              </w:rPr>
              <w:t xml:space="preserve">TTL: 60 minutes; refreshed silently via offline_access</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left w:val="single" w:color="1B5E20" w:sz="16"/>
              <w:bottom w:val="none"/>
              <w:right w:val="none"/>
            </w:tcBorders>
            <w:shd w:fill="E8F5E9" w:val="clear"/>
            <w:tcMar>
              <w:top w:type="dxa" w:w="80"/>
              <w:left w:type="dxa" w:w="140"/>
              <w:bottom w:type="dxa" w:w="80"/>
              <w:right w:type="dxa" w:w="80"/>
            </w:tcMar>
          </w:tcPr>
          <w:p>
            <w:pPr>
              <w:spacing w:after="40" w:before="0"/>
            </w:pPr>
            <w:r>
              <w:rPr>
                <w:b/>
                <w:bCs/>
                <w:color w:val="1B5E20"/>
                <w:sz w:val="20"/>
                <w:szCs w:val="20"/>
              </w:rPr>
              <w:t xml:space="preserve">Zero-Secret Policy</w:t>
            </w:r>
          </w:p>
          <w:p>
            <w:pPr>
              <w:spacing w:after="0" w:before="0"/>
            </w:pPr>
            <w:r>
              <w:rPr>
                <w:color w:val="424242"/>
                <w:sz w:val="19"/>
                <w:szCs w:val="19"/>
              </w:rPr>
              <w:t xml:space="preserve">The application codebase and source control contain zero credentials, connection strings, or API keys. All secrets are pulled from Azure Key Vault at application startup using Managed Identity. No developer has direct access to production Key Vault secrets.</w:t>
            </w:r>
          </w:p>
        </w:tc>
      </w:tr>
    </w:tbl>
    <w:p/>
    <w:p>
      <w:pPr>
        <w:pStyle w:val="Heading2"/>
        <w:spacing w:after="120" w:before="320"/>
      </w:pPr>
      <w:r>
        <w:t xml:space="preserve">10.2  Token Lifetime &amp; Expiry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2000"/>
        <w:gridCol w:w="1800"/>
        <w:gridCol w:w="2200"/>
        <w:gridCol w:w="3500"/>
      </w:tblGrid>
      <w:tr>
        <w:trPr>
          <w:tblHeader/>
        </w:trPr>
        <w:tc>
          <w:tcPr>
            <w:tcW w:type="dxa" w:w="2000"/>
            <w:shd w:fill="0D2B5C" w:val="clear"/>
            <w:tcMar>
              <w:top w:type="dxa" w:w="60"/>
              <w:left w:type="dxa" w:w="100"/>
              <w:bottom w:type="dxa" w:w="60"/>
              <w:right w:type="dxa" w:w="60"/>
            </w:tcMar>
          </w:tcPr>
          <w:p>
            <w:r>
              <w:rPr>
                <w:b/>
                <w:bCs/>
                <w:color w:val="FFFFFF"/>
                <w:sz w:val="18"/>
                <w:szCs w:val="18"/>
              </w:rPr>
              <w:t xml:space="preserve">Token Type</w:t>
            </w:r>
          </w:p>
        </w:tc>
        <w:tc>
          <w:tcPr>
            <w:tcW w:type="dxa" w:w="1800"/>
            <w:shd w:fill="0D2B5C" w:val="clear"/>
            <w:tcMar>
              <w:top w:type="dxa" w:w="60"/>
              <w:left w:type="dxa" w:w="100"/>
              <w:bottom w:type="dxa" w:w="60"/>
              <w:right w:type="dxa" w:w="60"/>
            </w:tcMar>
          </w:tcPr>
          <w:p>
            <w:r>
              <w:rPr>
                <w:b/>
                <w:bCs/>
                <w:color w:val="FFFFFF"/>
                <w:sz w:val="18"/>
                <w:szCs w:val="18"/>
              </w:rPr>
              <w:t xml:space="preserve">Default Lifetime</w:t>
            </w:r>
          </w:p>
        </w:tc>
        <w:tc>
          <w:tcPr>
            <w:tcW w:type="dxa" w:w="2200"/>
            <w:shd w:fill="0D2B5C" w:val="clear"/>
            <w:tcMar>
              <w:top w:type="dxa" w:w="60"/>
              <w:left w:type="dxa" w:w="100"/>
              <w:bottom w:type="dxa" w:w="60"/>
              <w:right w:type="dxa" w:w="60"/>
            </w:tcMar>
          </w:tcPr>
          <w:p>
            <w:r>
              <w:rPr>
                <w:b/>
                <w:bCs/>
                <w:color w:val="FFFFFF"/>
                <w:sz w:val="18"/>
                <w:szCs w:val="18"/>
              </w:rPr>
              <w:t xml:space="preserve">IMP Configuration</w:t>
            </w:r>
          </w:p>
        </w:tc>
        <w:tc>
          <w:tcPr>
            <w:tcW w:type="dxa" w:w="3500"/>
            <w:shd w:fill="0D2B5C" w:val="clear"/>
            <w:tcMar>
              <w:top w:type="dxa" w:w="60"/>
              <w:left w:type="dxa" w:w="100"/>
              <w:bottom w:type="dxa" w:w="60"/>
              <w:right w:type="dxa" w:w="60"/>
            </w:tcMar>
          </w:tcPr>
          <w:p>
            <w:r>
              <w:rPr>
                <w:b/>
                <w:bCs/>
                <w:color w:val="FFFFFF"/>
                <w:sz w:val="18"/>
                <w:szCs w:val="18"/>
              </w:rPr>
              <w:t xml:space="preserve">Renewal Mechanism</w:t>
            </w:r>
          </w:p>
        </w:tc>
      </w:tr>
      <w:tr>
        <w:tc>
          <w:tcPr>
            <w:tcW w:type="dxa" w:w="2000"/>
            <w:shd w:fill="FFFFFF" w:val="clear"/>
            <w:tcMar>
              <w:top w:type="dxa" w:w="60"/>
              <w:left w:type="dxa" w:w="100"/>
              <w:bottom w:type="dxa" w:w="60"/>
              <w:right w:type="dxa" w:w="60"/>
            </w:tcMar>
          </w:tcPr>
          <w:p>
            <w:r>
              <w:rPr>
                <w:color w:val="000000"/>
                <w:sz w:val="18"/>
                <w:szCs w:val="18"/>
              </w:rPr>
              <w:t xml:space="preserve">ID Token (OIDC)</w:t>
            </w:r>
          </w:p>
        </w:tc>
        <w:tc>
          <w:tcPr>
            <w:tcW w:type="dxa" w:w="1800"/>
            <w:shd w:fill="FFFFFF" w:val="clear"/>
            <w:tcMar>
              <w:top w:type="dxa" w:w="60"/>
              <w:left w:type="dxa" w:w="100"/>
              <w:bottom w:type="dxa" w:w="60"/>
              <w:right w:type="dxa" w:w="60"/>
            </w:tcMar>
          </w:tcPr>
          <w:p>
            <w:r>
              <w:rPr>
                <w:color w:val="000000"/>
                <w:sz w:val="18"/>
                <w:szCs w:val="18"/>
              </w:rPr>
              <w:t xml:space="preserve">60–90 minutes</w:t>
            </w:r>
          </w:p>
        </w:tc>
        <w:tc>
          <w:tcPr>
            <w:tcW w:type="dxa" w:w="2200"/>
            <w:shd w:fill="FFFFFF" w:val="clear"/>
            <w:tcMar>
              <w:top w:type="dxa" w:w="60"/>
              <w:left w:type="dxa" w:w="100"/>
              <w:bottom w:type="dxa" w:w="60"/>
              <w:right w:type="dxa" w:w="60"/>
            </w:tcMar>
          </w:tcPr>
          <w:p>
            <w:r>
              <w:rPr>
                <w:color w:val="000000"/>
                <w:sz w:val="18"/>
                <w:szCs w:val="18"/>
              </w:rPr>
              <w:t xml:space="preserve">Not extended</w:t>
            </w:r>
          </w:p>
        </w:tc>
        <w:tc>
          <w:tcPr>
            <w:tcW w:type="dxa" w:w="3500"/>
            <w:shd w:fill="FFFFFF" w:val="clear"/>
            <w:tcMar>
              <w:top w:type="dxa" w:w="60"/>
              <w:left w:type="dxa" w:w="100"/>
              <w:bottom w:type="dxa" w:w="60"/>
              <w:right w:type="dxa" w:w="60"/>
            </w:tcMar>
          </w:tcPr>
          <w:p>
            <w:r>
              <w:rPr>
                <w:color w:val="000000"/>
                <w:sz w:val="18"/>
                <w:szCs w:val="18"/>
              </w:rPr>
              <w:t xml:space="preserve">Silent OIDC redirect on expiry</w:t>
            </w:r>
          </w:p>
        </w:tc>
      </w:tr>
      <w:tr>
        <w:tc>
          <w:tcPr>
            <w:tcW w:type="dxa" w:w="2000"/>
            <w:shd w:fill="F5F5F5" w:val="clear"/>
            <w:tcMar>
              <w:top w:type="dxa" w:w="60"/>
              <w:left w:type="dxa" w:w="100"/>
              <w:bottom w:type="dxa" w:w="60"/>
              <w:right w:type="dxa" w:w="60"/>
            </w:tcMar>
          </w:tcPr>
          <w:p>
            <w:r>
              <w:rPr>
                <w:color w:val="000000"/>
                <w:sz w:val="18"/>
                <w:szCs w:val="18"/>
              </w:rPr>
              <w:t xml:space="preserve">Access Token (API)</w:t>
            </w:r>
          </w:p>
        </w:tc>
        <w:tc>
          <w:tcPr>
            <w:tcW w:type="dxa" w:w="1800"/>
            <w:shd w:fill="F5F5F5" w:val="clear"/>
            <w:tcMar>
              <w:top w:type="dxa" w:w="60"/>
              <w:left w:type="dxa" w:w="100"/>
              <w:bottom w:type="dxa" w:w="60"/>
              <w:right w:type="dxa" w:w="60"/>
            </w:tcMar>
          </w:tcPr>
          <w:p>
            <w:r>
              <w:rPr>
                <w:color w:val="000000"/>
                <w:sz w:val="18"/>
                <w:szCs w:val="18"/>
              </w:rPr>
              <w:t xml:space="preserve">60–90 minutes</w:t>
            </w:r>
          </w:p>
        </w:tc>
        <w:tc>
          <w:tcPr>
            <w:tcW w:type="dxa" w:w="2200"/>
            <w:shd w:fill="F5F5F5" w:val="clear"/>
            <w:tcMar>
              <w:top w:type="dxa" w:w="60"/>
              <w:left w:type="dxa" w:w="100"/>
              <w:bottom w:type="dxa" w:w="60"/>
              <w:right w:type="dxa" w:w="60"/>
            </w:tcMar>
          </w:tcPr>
          <w:p>
            <w:r>
              <w:rPr>
                <w:color w:val="000000"/>
                <w:sz w:val="18"/>
                <w:szCs w:val="18"/>
              </w:rPr>
              <w:t xml:space="preserve">Not extended</w:t>
            </w:r>
          </w:p>
        </w:tc>
        <w:tc>
          <w:tcPr>
            <w:tcW w:type="dxa" w:w="3500"/>
            <w:shd w:fill="F5F5F5" w:val="clear"/>
            <w:tcMar>
              <w:top w:type="dxa" w:w="60"/>
              <w:left w:type="dxa" w:w="100"/>
              <w:bottom w:type="dxa" w:w="60"/>
              <w:right w:type="dxa" w:w="60"/>
            </w:tcMar>
          </w:tcPr>
          <w:p>
            <w:r>
              <w:rPr>
                <w:color w:val="000000"/>
                <w:sz w:val="18"/>
                <w:szCs w:val="18"/>
              </w:rPr>
              <w:t xml:space="preserve">MSAL acquires silently using refresh token</w:t>
            </w:r>
          </w:p>
        </w:tc>
      </w:tr>
      <w:tr>
        <w:tc>
          <w:tcPr>
            <w:tcW w:type="dxa" w:w="2000"/>
            <w:shd w:fill="FFFFFF" w:val="clear"/>
            <w:tcMar>
              <w:top w:type="dxa" w:w="60"/>
              <w:left w:type="dxa" w:w="100"/>
              <w:bottom w:type="dxa" w:w="60"/>
              <w:right w:type="dxa" w:w="60"/>
            </w:tcMar>
          </w:tcPr>
          <w:p>
            <w:r>
              <w:rPr>
                <w:color w:val="000000"/>
                <w:sz w:val="18"/>
                <w:szCs w:val="18"/>
              </w:rPr>
              <w:t xml:space="preserve">Refresh Token</w:t>
            </w:r>
          </w:p>
        </w:tc>
        <w:tc>
          <w:tcPr>
            <w:tcW w:type="dxa" w:w="1800"/>
            <w:shd w:fill="FFFFFF" w:val="clear"/>
            <w:tcMar>
              <w:top w:type="dxa" w:w="60"/>
              <w:left w:type="dxa" w:w="100"/>
              <w:bottom w:type="dxa" w:w="60"/>
              <w:right w:type="dxa" w:w="60"/>
            </w:tcMar>
          </w:tcPr>
          <w:p>
            <w:r>
              <w:rPr>
                <w:color w:val="000000"/>
                <w:sz w:val="18"/>
                <w:szCs w:val="18"/>
              </w:rPr>
              <w:t xml:space="preserve">Up to 90 days (rolling)</w:t>
            </w:r>
          </w:p>
        </w:tc>
        <w:tc>
          <w:tcPr>
            <w:tcW w:type="dxa" w:w="2200"/>
            <w:shd w:fill="FFFFFF" w:val="clear"/>
            <w:tcMar>
              <w:top w:type="dxa" w:w="60"/>
              <w:left w:type="dxa" w:w="100"/>
              <w:bottom w:type="dxa" w:w="60"/>
              <w:right w:type="dxa" w:w="60"/>
            </w:tcMar>
          </w:tcPr>
          <w:p>
            <w:r>
              <w:rPr>
                <w:color w:val="000000"/>
                <w:sz w:val="18"/>
                <w:szCs w:val="18"/>
              </w:rPr>
              <w:t xml:space="preserve">Not extended</w:t>
            </w:r>
          </w:p>
        </w:tc>
        <w:tc>
          <w:tcPr>
            <w:tcW w:type="dxa" w:w="3500"/>
            <w:shd w:fill="FFFFFF" w:val="clear"/>
            <w:tcMar>
              <w:top w:type="dxa" w:w="60"/>
              <w:left w:type="dxa" w:w="100"/>
              <w:bottom w:type="dxa" w:w="60"/>
              <w:right w:type="dxa" w:w="60"/>
            </w:tcMar>
          </w:tcPr>
          <w:p>
            <w:r>
              <w:rPr>
                <w:color w:val="000000"/>
                <w:sz w:val="18"/>
                <w:szCs w:val="18"/>
              </w:rPr>
              <w:t xml:space="preserve">Used by MSAL for silent token renewal; revoked on logout</w:t>
            </w:r>
          </w:p>
        </w:tc>
      </w:tr>
      <w:tr>
        <w:tc>
          <w:tcPr>
            <w:tcW w:type="dxa" w:w="2000"/>
            <w:shd w:fill="F5F5F5" w:val="clear"/>
            <w:tcMar>
              <w:top w:type="dxa" w:w="60"/>
              <w:left w:type="dxa" w:w="100"/>
              <w:bottom w:type="dxa" w:w="60"/>
              <w:right w:type="dxa" w:w="60"/>
            </w:tcMar>
          </w:tcPr>
          <w:p>
            <w:r>
              <w:rPr>
                <w:color w:val="000000"/>
                <w:sz w:val="18"/>
                <w:szCs w:val="18"/>
              </w:rPr>
              <w:t xml:space="preserve">RBAC Cache (UI)</w:t>
            </w:r>
          </w:p>
        </w:tc>
        <w:tc>
          <w:tcPr>
            <w:tcW w:type="dxa" w:w="1800"/>
            <w:shd w:fill="F5F5F5" w:val="clear"/>
            <w:tcMar>
              <w:top w:type="dxa" w:w="60"/>
              <w:left w:type="dxa" w:w="100"/>
              <w:bottom w:type="dxa" w:w="60"/>
              <w:right w:type="dxa" w:w="60"/>
            </w:tcMar>
          </w:tcPr>
          <w:p>
            <w:r>
              <w:rPr>
                <w:color w:val="000000"/>
                <w:sz w:val="18"/>
                <w:szCs w:val="18"/>
              </w:rPr>
              <w:t xml:space="preserve">60 minutes (standard)</w:t>
            </w:r>
          </w:p>
        </w:tc>
        <w:tc>
          <w:tcPr>
            <w:tcW w:type="dxa" w:w="2200"/>
            <w:shd w:fill="F5F5F5" w:val="clear"/>
            <w:tcMar>
              <w:top w:type="dxa" w:w="60"/>
              <w:left w:type="dxa" w:w="100"/>
              <w:bottom w:type="dxa" w:w="60"/>
              <w:right w:type="dxa" w:w="60"/>
            </w:tcMar>
          </w:tcPr>
          <w:p>
            <w:r>
              <w:rPr>
                <w:color w:val="000000"/>
                <w:sz w:val="18"/>
                <w:szCs w:val="18"/>
              </w:rPr>
              <w:t xml:space="preserve">5 seconds (fallback profile)</w:t>
            </w:r>
          </w:p>
        </w:tc>
        <w:tc>
          <w:tcPr>
            <w:tcW w:type="dxa" w:w="3500"/>
            <w:shd w:fill="F5F5F5" w:val="clear"/>
            <w:tcMar>
              <w:top w:type="dxa" w:w="60"/>
              <w:left w:type="dxa" w:w="100"/>
              <w:bottom w:type="dxa" w:w="60"/>
              <w:right w:type="dxa" w:w="60"/>
            </w:tcMar>
          </w:tcPr>
          <w:p>
            <w:r>
              <w:rPr>
                <w:color w:val="000000"/>
                <w:sz w:val="18"/>
                <w:szCs w:val="18"/>
              </w:rPr>
              <w:t xml:space="preserve">Re-fetched on next request after expiry</w:t>
            </w:r>
          </w:p>
        </w:tc>
      </w:tr>
      <w:tr>
        <w:tc>
          <w:tcPr>
            <w:tcW w:type="dxa" w:w="2000"/>
            <w:shd w:fill="FFFFFF" w:val="clear"/>
            <w:tcMar>
              <w:top w:type="dxa" w:w="60"/>
              <w:left w:type="dxa" w:w="100"/>
              <w:bottom w:type="dxa" w:w="60"/>
              <w:right w:type="dxa" w:w="60"/>
            </w:tcMar>
          </w:tcPr>
          <w:p>
            <w:r>
              <w:rPr>
                <w:color w:val="000000"/>
                <w:sz w:val="18"/>
                <w:szCs w:val="18"/>
              </w:rPr>
              <w:t xml:space="preserve">Cookie Session</w:t>
            </w:r>
          </w:p>
        </w:tc>
        <w:tc>
          <w:tcPr>
            <w:tcW w:type="dxa" w:w="1800"/>
            <w:shd w:fill="FFFFFF" w:val="clear"/>
            <w:tcMar>
              <w:top w:type="dxa" w:w="60"/>
              <w:left w:type="dxa" w:w="100"/>
              <w:bottom w:type="dxa" w:w="60"/>
              <w:right w:type="dxa" w:w="60"/>
            </w:tcMar>
          </w:tcPr>
          <w:p>
            <w:r>
              <w:rPr>
                <w:color w:val="000000"/>
                <w:sz w:val="18"/>
                <w:szCs w:val="18"/>
              </w:rPr>
              <w:t xml:space="preserve">Session-length by default</w:t>
            </w:r>
          </w:p>
        </w:tc>
        <w:tc>
          <w:tcPr>
            <w:tcW w:type="dxa" w:w="2200"/>
            <w:shd w:fill="FFFFFF" w:val="clear"/>
            <w:tcMar>
              <w:top w:type="dxa" w:w="60"/>
              <w:left w:type="dxa" w:w="100"/>
              <w:bottom w:type="dxa" w:w="60"/>
              <w:right w:type="dxa" w:w="60"/>
            </w:tcMar>
          </w:tcPr>
          <w:p>
            <w:r>
              <w:rPr>
                <w:color w:val="000000"/>
                <w:sz w:val="18"/>
                <w:szCs w:val="18"/>
              </w:rPr>
              <w:t xml:space="preserve">HttpOnly + Secure + SameSite=Lax</w:t>
            </w:r>
          </w:p>
        </w:tc>
        <w:tc>
          <w:tcPr>
            <w:tcW w:type="dxa" w:w="3500"/>
            <w:shd w:fill="FFFFFF" w:val="clear"/>
            <w:tcMar>
              <w:top w:type="dxa" w:w="60"/>
              <w:left w:type="dxa" w:w="100"/>
              <w:bottom w:type="dxa" w:w="60"/>
              <w:right w:type="dxa" w:w="60"/>
            </w:tcMar>
          </w:tcPr>
          <w:p>
            <w:r>
              <w:rPr>
                <w:color w:val="000000"/>
                <w:sz w:val="18"/>
                <w:szCs w:val="18"/>
              </w:rPr>
              <w:t xml:space="preserve">Re-authenticated via OIDC on browser restart</w:t>
            </w:r>
          </w:p>
        </w:tc>
      </w:tr>
    </w:tbl>
    <w:p/>
    <w:p>
      <w:pPr>
        <w:pStyle w:val="Heading2"/>
        <w:spacing w:after="120" w:before="320"/>
      </w:pPr>
      <w:r>
        <w:t xml:space="preserve">10.3  Cookie Security Configuration</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AuthenticationServiceExtensions.cs</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options.Cookie.Name     = "InterventionsAuthCookie";</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options.Cookie.HttpOnly = true;     // Prevents JavaScript access (XSS protection)</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options.Cookie.SecurePolicy = CookieSecurePolicy.Always;  // HTTPS only</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options.Cookie.SameSite = SameSiteMode.Lax;  // CSRF protection for top-level nav</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options.Cookie.Path     = "/";</w:t>
      </w:r>
    </w:p>
    <w:p/>
    <w:p>
      <w:pPr>
        <w:pStyle w:val="Heading2"/>
        <w:spacing w:after="120" w:before="320"/>
      </w:pPr>
      <w:r>
        <w:t xml:space="preserve">10.4  CSRF Protection</w:t>
      </w:r>
    </w:p>
    <w:p>
      <w:pPr>
        <w:spacing w:after="60" w:before="60"/>
        <w:jc w:val="left"/>
      </w:pPr>
      <w:r>
        <w:rPr>
          <w:b w:val="false"/>
          <w:bCs w:val="false"/>
          <w:i w:val="false"/>
          <w:iCs w:val="false"/>
          <w:color w:val="000000"/>
          <w:sz w:val="20"/>
          <w:szCs w:val="20"/>
        </w:rPr>
        <w:t xml:space="preserve">ASP.NET Core MVC automatically includes Anti-Forgery Token validation on all POST/PUT/DELETE form submissions via the [ValidateAntiForgeryToken] attribute and the @Html.AntiForgeryToken() helper in Razor views. OIDC state parameters provide additional CSRF protection during the authentication redirect flow.</w:t>
      </w:r>
    </w:p>
    <w:p/>
    <w:p>
      <w:pPr>
        <w:pStyle w:val="Heading2"/>
        <w:spacing w:after="120" w:before="320"/>
      </w:pPr>
      <w:r>
        <w:t xml:space="preserve">10.5  XSS Protection</w:t>
      </w:r>
    </w:p>
    <w:p>
      <w:pPr>
        <w:pStyle w:val="ListParagraph"/>
        <w:numPr>
          <w:ilvl w:val="0"/>
          <w:numId w:val="1"/>
        </w:numPr>
        <w:spacing w:after="40" w:before="40"/>
        <w:ind w:left="360"/>
      </w:pPr>
      <w:r>
        <w:rPr>
          <w:sz w:val="20"/>
          <w:szCs w:val="20"/>
        </w:rPr>
        <w:t xml:space="preserve">All Razor view outputs are HTML-encoded by default — @Model.Value never injects raw HTML.</w:t>
      </w:r>
    </w:p>
    <w:p>
      <w:pPr>
        <w:pStyle w:val="ListParagraph"/>
        <w:numPr>
          <w:ilvl w:val="0"/>
          <w:numId w:val="1"/>
        </w:numPr>
        <w:spacing w:after="40" w:before="40"/>
        <w:ind w:left="360"/>
      </w:pPr>
      <w:r>
        <w:rPr>
          <w:sz w:val="20"/>
          <w:szCs w:val="20"/>
        </w:rPr>
        <w:t xml:space="preserve">Content Security Policy (CSP) headers should be configured to restrict script sources to trusted origins only.</w:t>
      </w:r>
    </w:p>
    <w:p>
      <w:pPr>
        <w:pStyle w:val="ListParagraph"/>
        <w:numPr>
          <w:ilvl w:val="0"/>
          <w:numId w:val="1"/>
        </w:numPr>
        <w:spacing w:after="40" w:before="40"/>
        <w:ind w:left="360"/>
      </w:pPr>
      <w:r>
        <w:rPr>
          <w:sz w:val="20"/>
          <w:szCs w:val="20"/>
        </w:rPr>
        <w:t xml:space="preserve">X-Content-Type-Options: nosniff and X-Frame-Options: DENY headers must be set.</w:t>
      </w:r>
    </w:p>
    <w:p>
      <w:pPr>
        <w:pStyle w:val="ListParagraph"/>
        <w:numPr>
          <w:ilvl w:val="0"/>
          <w:numId w:val="1"/>
        </w:numPr>
        <w:spacing w:after="40" w:before="40"/>
        <w:ind w:left="360"/>
      </w:pPr>
      <w:r>
        <w:rPr>
          <w:sz w:val="20"/>
          <w:szCs w:val="20"/>
        </w:rPr>
        <w:t xml:space="preserve">User-supplied strings (DisplayName, Email) are never executed as code paths.</w:t>
      </w:r>
    </w:p>
    <w:p/>
    <w:p>
      <w:pPr>
        <w:pStyle w:val="Heading2"/>
        <w:spacing w:after="120" w:before="320"/>
      </w:pPr>
      <w:r>
        <w:t xml:space="preserve">10.6  Token Replay Protection</w:t>
      </w:r>
    </w:p>
    <w:p>
      <w:pPr>
        <w:pStyle w:val="ListParagraph"/>
        <w:numPr>
          <w:ilvl w:val="0"/>
          <w:numId w:val="1"/>
        </w:numPr>
        <w:spacing w:after="40" w:before="40"/>
        <w:ind w:left="360"/>
      </w:pPr>
      <w:r>
        <w:rPr>
          <w:sz w:val="20"/>
          <w:szCs w:val="20"/>
        </w:rPr>
        <w:t xml:space="preserve">Entra ID issues short-lived access tokens (60–90 min). Replay window is minimised.</w:t>
      </w:r>
    </w:p>
    <w:p>
      <w:pPr>
        <w:pStyle w:val="ListParagraph"/>
        <w:numPr>
          <w:ilvl w:val="0"/>
          <w:numId w:val="1"/>
        </w:numPr>
        <w:spacing w:after="40" w:before="40"/>
        <w:ind w:left="360"/>
      </w:pPr>
      <w:r>
        <w:rPr>
          <w:sz w:val="20"/>
          <w:szCs w:val="20"/>
        </w:rPr>
        <w:t xml:space="preserve">JWT nonce claim (nonce) in ID tokens prevents replay of authentication responses.</w:t>
      </w:r>
    </w:p>
    <w:p>
      <w:pPr>
        <w:pStyle w:val="ListParagraph"/>
        <w:numPr>
          <w:ilvl w:val="0"/>
          <w:numId w:val="1"/>
        </w:numPr>
        <w:spacing w:after="40" w:before="40"/>
        <w:ind w:left="360"/>
      </w:pPr>
      <w:r>
        <w:rPr>
          <w:sz w:val="20"/>
          <w:szCs w:val="20"/>
        </w:rPr>
        <w:t xml:space="preserve">OIDC state parameter prevents CSRF during the authorisation code flow.</w:t>
      </w:r>
    </w:p>
    <w:p>
      <w:pPr>
        <w:pStyle w:val="ListParagraph"/>
        <w:numPr>
          <w:ilvl w:val="0"/>
          <w:numId w:val="1"/>
        </w:numPr>
        <w:spacing w:after="40" w:before="40"/>
        <w:ind w:left="360"/>
      </w:pPr>
      <w:r>
        <w:rPr>
          <w:sz w:val="20"/>
          <w:szCs w:val="20"/>
        </w:rPr>
        <w:t xml:space="preserve">PKCE (Proof Key for Code Exchange) is enforced by Microsoft.Identity.Web on all OIDC flows.</w:t>
      </w:r>
    </w:p>
    <w:p/>
    <w:p>
      <w:pPr>
        <w:pStyle w:val="Heading2"/>
        <w:spacing w:after="120" w:before="320"/>
      </w:pPr>
      <w:r>
        <w:t xml:space="preserve">10.7  Logout &amp; Session Termination</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Full logout: clears cookie AND signs out of Entra ID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return SignOut(</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new AuthenticationProperties { RedirectUri = "/"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CookieAuthenticationDefaults.AuthenticationScheme,</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OpenIdConnectDefaults.AuthenticationScheme</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This sends the user to Entra ID's /logout endpoint,</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invalidating their Entra session. Prevents SSO re-authentication</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without re-entering credentials if MFA is enforced.</w:t>
      </w:r>
    </w:p>
    <w:p/>
    <w:p>
      <w:pPr>
        <w:pStyle w:val="Heading2"/>
        <w:spacing w:after="120" w:before="320"/>
      </w:pPr>
      <w:r>
        <w:t xml:space="preserve">10.8  Conditional Access &amp; MFA</w:t>
      </w:r>
    </w:p>
    <w:p>
      <w:pPr>
        <w:spacing w:after="60" w:before="60"/>
        <w:jc w:val="left"/>
      </w:pPr>
      <w:r>
        <w:rPr>
          <w:b w:val="false"/>
          <w:bCs w:val="false"/>
          <w:i w:val="false"/>
          <w:iCs w:val="false"/>
          <w:color w:val="000000"/>
          <w:sz w:val="20"/>
          <w:szCs w:val="20"/>
        </w:rPr>
        <w:t xml:space="preserve">Microsoft Entra ID Conditional Access Policies are enforced at the tenant level by the IT/Security team. IMP does not need to implement MFA — Entra ID enforces it transparently before issuing tokens. Conditional Access can enforce MFA for all IMP logins without any code changes.</w:t>
      </w:r>
    </w:p>
    <w:p>
      <w:r>
        <w:br w:type="page"/>
      </w:r>
    </w:p>
    <w:tbl>
      <w:tblPr>
        <w:tblW w:type="pct" w:w="100%"/>
        <w:tblBorders>
          <w:top w:val="none"/>
          <w:left w:val="none"/>
          <w:bottom w:val="none"/>
          <w:right w:val="none"/>
          <w:insideH w:val="single" w:color="auto" w:sz="4"/>
          <w:insideV w:val="single" w:color="auto" w:sz="4"/>
        </w:tblBorders>
      </w:tblPr>
      <w:tblGrid>
        <w:gridCol w:w="1200"/>
        <w:gridCol w:w="8300"/>
      </w:tblGrid>
      <w:tr>
        <w:tc>
          <w:tcPr>
            <w:tcW w:type="dxa" w:w="1200"/>
            <w:shd w:fill="0D2B5C" w:val="clear"/>
            <w:tcMar>
              <w:top w:type="dxa" w:w="100"/>
              <w:left w:type="dxa" w:w="120"/>
              <w:bottom w:type="dxa" w:w="100"/>
              <w:right w:type="dxa" w:w="60"/>
            </w:tcMar>
            <w:vAlign w:val="center"/>
          </w:tcPr>
          <w:p>
            <w:pPr>
              <w:jc w:val="center"/>
            </w:pPr>
            <w:r>
              <w:rPr>
                <w:rFonts w:ascii="Calibri" w:cs="Calibri" w:eastAsia="Calibri" w:hAnsi="Calibri"/>
                <w:b/>
                <w:bCs/>
                <w:color w:val="FFFFFF"/>
                <w:sz w:val="32"/>
                <w:szCs w:val="32"/>
              </w:rPr>
              <w:t xml:space="preserve">§11</w:t>
            </w:r>
          </w:p>
        </w:tc>
        <w:tc>
          <w:tcPr>
            <w:tcW w:type="dxa" w:w="8300"/>
            <w:shd w:fill="E3EEF9" w:val="clear"/>
            <w:tcMar>
              <w:top w:type="dxa" w:w="80"/>
              <w:left w:type="dxa" w:w="160"/>
              <w:bottom w:type="dxa" w:w="80"/>
              <w:right w:type="dxa" w:w="80"/>
            </w:tcMar>
          </w:tcPr>
          <w:p>
            <w:pPr>
              <w:spacing w:after="40" w:before="0"/>
            </w:pPr>
            <w:r>
              <w:rPr>
                <w:rFonts w:ascii="Calibri" w:cs="Calibri" w:eastAsia="Calibri" w:hAnsi="Calibri"/>
                <w:b/>
                <w:bCs/>
                <w:color w:val="0D2B5C"/>
                <w:sz w:val="26"/>
                <w:szCs w:val="26"/>
              </w:rPr>
              <w:t xml:space="preserve">Risks &amp; Mitigation Register</w:t>
            </w:r>
          </w:p>
          <w:p>
            <w:pPr>
              <w:spacing w:after="0" w:before="0"/>
            </w:pPr>
            <w:r>
              <w:rPr>
                <w:i/>
                <w:iCs/>
                <w:color w:val="006DA3"/>
                <w:sz w:val="18"/>
                <w:szCs w:val="18"/>
              </w:rPr>
              <w:t xml:space="preserve">Identified technical, operational, and configuration risks with mitigations</w:t>
            </w:r>
          </w:p>
        </w:tc>
      </w:tr>
    </w:tbl>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400"/>
        <w:gridCol w:w="2200"/>
        <w:gridCol w:w="1000"/>
        <w:gridCol w:w="800"/>
        <w:gridCol w:w="5100"/>
      </w:tblGrid>
      <w:tr>
        <w:trPr>
          <w:tblHeader/>
        </w:trPr>
        <w:tc>
          <w:tcPr>
            <w:tcW w:type="dxa" w:w="400"/>
            <w:shd w:fill="0D2B5C" w:val="clear"/>
            <w:tcMar>
              <w:top w:type="dxa" w:w="60"/>
              <w:left w:type="dxa" w:w="100"/>
              <w:bottom w:type="dxa" w:w="60"/>
              <w:right w:type="dxa" w:w="60"/>
            </w:tcMar>
          </w:tcPr>
          <w:p>
            <w:r>
              <w:rPr>
                <w:b/>
                <w:bCs/>
                <w:color w:val="FFFFFF"/>
                <w:sz w:val="18"/>
                <w:szCs w:val="18"/>
              </w:rPr>
              <w:t xml:space="preserve">#</w:t>
            </w:r>
          </w:p>
        </w:tc>
        <w:tc>
          <w:tcPr>
            <w:tcW w:type="dxa" w:w="2200"/>
            <w:shd w:fill="0D2B5C" w:val="clear"/>
            <w:tcMar>
              <w:top w:type="dxa" w:w="60"/>
              <w:left w:type="dxa" w:w="100"/>
              <w:bottom w:type="dxa" w:w="60"/>
              <w:right w:type="dxa" w:w="60"/>
            </w:tcMar>
          </w:tcPr>
          <w:p>
            <w:r>
              <w:rPr>
                <w:b/>
                <w:bCs/>
                <w:color w:val="FFFFFF"/>
                <w:sz w:val="18"/>
                <w:szCs w:val="18"/>
              </w:rPr>
              <w:t xml:space="preserve">Risk</w:t>
            </w:r>
          </w:p>
        </w:tc>
        <w:tc>
          <w:tcPr>
            <w:tcW w:type="dxa" w:w="1000"/>
            <w:shd w:fill="0D2B5C" w:val="clear"/>
            <w:tcMar>
              <w:top w:type="dxa" w:w="60"/>
              <w:left w:type="dxa" w:w="100"/>
              <w:bottom w:type="dxa" w:w="60"/>
              <w:right w:type="dxa" w:w="60"/>
            </w:tcMar>
          </w:tcPr>
          <w:p>
            <w:r>
              <w:rPr>
                <w:b/>
                <w:bCs/>
                <w:color w:val="FFFFFF"/>
                <w:sz w:val="18"/>
                <w:szCs w:val="18"/>
              </w:rPr>
              <w:t xml:space="preserve">Likelihood</w:t>
            </w:r>
          </w:p>
        </w:tc>
        <w:tc>
          <w:tcPr>
            <w:tcW w:type="dxa" w:w="800"/>
            <w:shd w:fill="0D2B5C" w:val="clear"/>
            <w:tcMar>
              <w:top w:type="dxa" w:w="60"/>
              <w:left w:type="dxa" w:w="100"/>
              <w:bottom w:type="dxa" w:w="60"/>
              <w:right w:type="dxa" w:w="60"/>
            </w:tcMar>
          </w:tcPr>
          <w:p>
            <w:r>
              <w:rPr>
                <w:b/>
                <w:bCs/>
                <w:color w:val="FFFFFF"/>
                <w:sz w:val="18"/>
                <w:szCs w:val="18"/>
              </w:rPr>
              <w:t xml:space="preserve">Impact</w:t>
            </w:r>
          </w:p>
        </w:tc>
        <w:tc>
          <w:tcPr>
            <w:tcW w:type="dxa" w:w="5100"/>
            <w:shd w:fill="0D2B5C" w:val="clear"/>
            <w:tcMar>
              <w:top w:type="dxa" w:w="60"/>
              <w:left w:type="dxa" w:w="100"/>
              <w:bottom w:type="dxa" w:w="60"/>
              <w:right w:type="dxa" w:w="60"/>
            </w:tcMar>
          </w:tcPr>
          <w:p>
            <w:r>
              <w:rPr>
                <w:b/>
                <w:bCs/>
                <w:color w:val="FFFFFF"/>
                <w:sz w:val="18"/>
                <w:szCs w:val="18"/>
              </w:rPr>
              <w:t xml:space="preserve">Mitigation</w:t>
            </w:r>
          </w:p>
        </w:tc>
      </w:tr>
      <w:tr>
        <w:tc>
          <w:tcPr>
            <w:tcW w:type="dxa" w:w="400"/>
            <w:shd w:fill="FFFFFF" w:val="clear"/>
            <w:tcMar>
              <w:top w:type="dxa" w:w="60"/>
              <w:left w:type="dxa" w:w="100"/>
              <w:bottom w:type="dxa" w:w="60"/>
              <w:right w:type="dxa" w:w="60"/>
            </w:tcMar>
          </w:tcPr>
          <w:p>
            <w:r>
              <w:rPr>
                <w:color w:val="000000"/>
                <w:sz w:val="18"/>
                <w:szCs w:val="18"/>
              </w:rPr>
              <w:t xml:space="preserve">R1</w:t>
            </w:r>
          </w:p>
        </w:tc>
        <w:tc>
          <w:tcPr>
            <w:tcW w:type="dxa" w:w="2200"/>
            <w:shd w:fill="FFFFFF" w:val="clear"/>
            <w:tcMar>
              <w:top w:type="dxa" w:w="60"/>
              <w:left w:type="dxa" w:w="100"/>
              <w:bottom w:type="dxa" w:w="60"/>
              <w:right w:type="dxa" w:w="60"/>
            </w:tcMar>
          </w:tcPr>
          <w:p>
            <w:r>
              <w:rPr>
                <w:color w:val="000000"/>
                <w:sz w:val="18"/>
                <w:szCs w:val="18"/>
              </w:rPr>
              <w:t xml:space="preserve">Graph API permission missing or admin consent not granted</w:t>
            </w:r>
          </w:p>
        </w:tc>
        <w:tc>
          <w:tcPr>
            <w:tcW w:type="dxa" w:w="1000"/>
            <w:shd w:fill="FFFFFF" w:val="clear"/>
            <w:tcMar>
              <w:top w:type="dxa" w:w="60"/>
              <w:left w:type="dxa" w:w="100"/>
              <w:bottom w:type="dxa" w:w="60"/>
              <w:right w:type="dxa" w:w="60"/>
            </w:tcMar>
          </w:tcPr>
          <w:p>
            <w:r>
              <w:rPr>
                <w:color w:val="000000"/>
                <w:sz w:val="18"/>
                <w:szCs w:val="18"/>
              </w:rPr>
              <w:t xml:space="preserve">Medium</w:t>
            </w:r>
          </w:p>
        </w:tc>
        <w:tc>
          <w:tcPr>
            <w:tcW w:type="dxa" w:w="800"/>
            <w:shd w:fill="FFFFFF" w:val="clear"/>
            <w:tcMar>
              <w:top w:type="dxa" w:w="60"/>
              <w:left w:type="dxa" w:w="100"/>
              <w:bottom w:type="dxa" w:w="60"/>
              <w:right w:type="dxa" w:w="60"/>
            </w:tcMar>
          </w:tcPr>
          <w:p>
            <w:r>
              <w:rPr>
                <w:color w:val="000000"/>
                <w:sz w:val="18"/>
                <w:szCs w:val="18"/>
              </w:rPr>
              <w:t xml:space="preserve">HIGH — All users fail to load roles; fallback to REQUESTER</w:t>
            </w:r>
          </w:p>
        </w:tc>
        <w:tc>
          <w:tcPr>
            <w:tcW w:type="dxa" w:w="5100"/>
            <w:shd w:fill="FFFFFF" w:val="clear"/>
            <w:tcMar>
              <w:top w:type="dxa" w:w="60"/>
              <w:left w:type="dxa" w:w="100"/>
              <w:bottom w:type="dxa" w:w="60"/>
              <w:right w:type="dxa" w:w="60"/>
            </w:tcMar>
          </w:tcPr>
          <w:p>
            <w:r>
              <w:rPr>
                <w:color w:val="000000"/>
                <w:sz w:val="18"/>
                <w:szCs w:val="18"/>
              </w:rPr>
              <w:t xml:space="preserve">Pre-register GroupMember.Read.All and Directory.Read.All. Require IT admin to grant tenant consent during deployment. Validate in staging before PROD.</w:t>
            </w:r>
          </w:p>
        </w:tc>
      </w:tr>
      <w:tr>
        <w:tc>
          <w:tcPr>
            <w:tcW w:type="dxa" w:w="400"/>
            <w:shd w:fill="F5F5F5" w:val="clear"/>
            <w:tcMar>
              <w:top w:type="dxa" w:w="60"/>
              <w:left w:type="dxa" w:w="100"/>
              <w:bottom w:type="dxa" w:w="60"/>
              <w:right w:type="dxa" w:w="60"/>
            </w:tcMar>
          </w:tcPr>
          <w:p>
            <w:r>
              <w:rPr>
                <w:color w:val="000000"/>
                <w:sz w:val="18"/>
                <w:szCs w:val="18"/>
              </w:rPr>
              <w:t xml:space="preserve">R2</w:t>
            </w:r>
          </w:p>
        </w:tc>
        <w:tc>
          <w:tcPr>
            <w:tcW w:type="dxa" w:w="2200"/>
            <w:shd w:fill="F5F5F5" w:val="clear"/>
            <w:tcMar>
              <w:top w:type="dxa" w:w="60"/>
              <w:left w:type="dxa" w:w="100"/>
              <w:bottom w:type="dxa" w:w="60"/>
              <w:right w:type="dxa" w:w="60"/>
            </w:tcMar>
          </w:tcPr>
          <w:p>
            <w:r>
              <w:rPr>
                <w:color w:val="000000"/>
                <w:sz w:val="18"/>
                <w:szCs w:val="18"/>
              </w:rPr>
              <w:t xml:space="preserve">Incorrect Redirect URI configured in App Registration</w:t>
            </w:r>
          </w:p>
        </w:tc>
        <w:tc>
          <w:tcPr>
            <w:tcW w:type="dxa" w:w="1000"/>
            <w:shd w:fill="F5F5F5" w:val="clear"/>
            <w:tcMar>
              <w:top w:type="dxa" w:w="60"/>
              <w:left w:type="dxa" w:w="100"/>
              <w:bottom w:type="dxa" w:w="60"/>
              <w:right w:type="dxa" w:w="60"/>
            </w:tcMar>
          </w:tcPr>
          <w:p>
            <w:r>
              <w:rPr>
                <w:color w:val="000000"/>
                <w:sz w:val="18"/>
                <w:szCs w:val="18"/>
              </w:rPr>
              <w:t xml:space="preserve">Medium</w:t>
            </w:r>
          </w:p>
        </w:tc>
        <w:tc>
          <w:tcPr>
            <w:tcW w:type="dxa" w:w="800"/>
            <w:shd w:fill="F5F5F5" w:val="clear"/>
            <w:tcMar>
              <w:top w:type="dxa" w:w="60"/>
              <w:left w:type="dxa" w:w="100"/>
              <w:bottom w:type="dxa" w:w="60"/>
              <w:right w:type="dxa" w:w="60"/>
            </w:tcMar>
          </w:tcPr>
          <w:p>
            <w:r>
              <w:rPr>
                <w:color w:val="000000"/>
                <w:sz w:val="18"/>
                <w:szCs w:val="18"/>
              </w:rPr>
              <w:t xml:space="preserve">HIGH — AADSTS50011 error; all logins fail</w:t>
            </w:r>
          </w:p>
        </w:tc>
        <w:tc>
          <w:tcPr>
            <w:tcW w:type="dxa" w:w="5100"/>
            <w:shd w:fill="F5F5F5" w:val="clear"/>
            <w:tcMar>
              <w:top w:type="dxa" w:w="60"/>
              <w:left w:type="dxa" w:w="100"/>
              <w:bottom w:type="dxa" w:w="60"/>
              <w:right w:type="dxa" w:w="60"/>
            </w:tcMar>
          </w:tcPr>
          <w:p>
            <w:r>
              <w:rPr>
                <w:color w:val="000000"/>
                <w:sz w:val="18"/>
                <w:szCs w:val="18"/>
              </w:rPr>
              <w:t xml:space="preserve">Document all 6 redirect URIs (5 envs + local). Validate after every App Registration change. Use automated smoke test post-deployment.</w:t>
            </w:r>
          </w:p>
        </w:tc>
      </w:tr>
      <w:tr>
        <w:tc>
          <w:tcPr>
            <w:tcW w:type="dxa" w:w="400"/>
            <w:shd w:fill="FFFFFF" w:val="clear"/>
            <w:tcMar>
              <w:top w:type="dxa" w:w="60"/>
              <w:left w:type="dxa" w:w="100"/>
              <w:bottom w:type="dxa" w:w="60"/>
              <w:right w:type="dxa" w:w="60"/>
            </w:tcMar>
          </w:tcPr>
          <w:p>
            <w:r>
              <w:rPr>
                <w:color w:val="000000"/>
                <w:sz w:val="18"/>
                <w:szCs w:val="18"/>
              </w:rPr>
              <w:t xml:space="preserve">R3</w:t>
            </w:r>
          </w:p>
        </w:tc>
        <w:tc>
          <w:tcPr>
            <w:tcW w:type="dxa" w:w="2200"/>
            <w:shd w:fill="FFFFFF" w:val="clear"/>
            <w:tcMar>
              <w:top w:type="dxa" w:w="60"/>
              <w:left w:type="dxa" w:w="100"/>
              <w:bottom w:type="dxa" w:w="60"/>
              <w:right w:type="dxa" w:w="60"/>
            </w:tcMar>
          </w:tcPr>
          <w:p>
            <w:r>
              <w:rPr>
                <w:color w:val="000000"/>
                <w:sz w:val="18"/>
                <w:szCs w:val="18"/>
              </w:rPr>
              <w:t xml:space="preserve">Azure Key Vault unavailable at application startup</w:t>
            </w:r>
          </w:p>
        </w:tc>
        <w:tc>
          <w:tcPr>
            <w:tcW w:type="dxa" w:w="1000"/>
            <w:shd w:fill="FFFFFF" w:val="clear"/>
            <w:tcMar>
              <w:top w:type="dxa" w:w="60"/>
              <w:left w:type="dxa" w:w="100"/>
              <w:bottom w:type="dxa" w:w="60"/>
              <w:right w:type="dxa" w:w="60"/>
            </w:tcMar>
          </w:tcPr>
          <w:p>
            <w:r>
              <w:rPr>
                <w:color w:val="000000"/>
                <w:sz w:val="18"/>
                <w:szCs w:val="18"/>
              </w:rPr>
              <w:t xml:space="preserve">Low</w:t>
            </w:r>
          </w:p>
        </w:tc>
        <w:tc>
          <w:tcPr>
            <w:tcW w:type="dxa" w:w="800"/>
            <w:shd w:fill="FFFFFF" w:val="clear"/>
            <w:tcMar>
              <w:top w:type="dxa" w:w="60"/>
              <w:left w:type="dxa" w:w="100"/>
              <w:bottom w:type="dxa" w:w="60"/>
              <w:right w:type="dxa" w:w="60"/>
            </w:tcMar>
          </w:tcPr>
          <w:p>
            <w:r>
              <w:rPr>
                <w:color w:val="000000"/>
                <w:sz w:val="18"/>
                <w:szCs w:val="18"/>
              </w:rPr>
              <w:t xml:space="preserve">HIGH — App fails to start; all environments down</w:t>
            </w:r>
          </w:p>
        </w:tc>
        <w:tc>
          <w:tcPr>
            <w:tcW w:type="dxa" w:w="5100"/>
            <w:shd w:fill="FFFFFF" w:val="clear"/>
            <w:tcMar>
              <w:top w:type="dxa" w:w="60"/>
              <w:left w:type="dxa" w:w="100"/>
              <w:bottom w:type="dxa" w:w="60"/>
              <w:right w:type="dxa" w:w="60"/>
            </w:tcMar>
          </w:tcPr>
          <w:p>
            <w:r>
              <w:rPr>
                <w:color w:val="000000"/>
                <w:sz w:val="18"/>
                <w:szCs w:val="18"/>
              </w:rPr>
              <w:t xml:space="preserve">App Service has Managed Identity retry logic. Implement health-check endpoint. Key Vault has 99.9% SLA. Consider caching critical secrets in App Service App Settings as last-resort fallback.</w:t>
            </w:r>
          </w:p>
        </w:tc>
      </w:tr>
      <w:tr>
        <w:tc>
          <w:tcPr>
            <w:tcW w:type="dxa" w:w="400"/>
            <w:shd w:fill="F5F5F5" w:val="clear"/>
            <w:tcMar>
              <w:top w:type="dxa" w:w="60"/>
              <w:left w:type="dxa" w:w="100"/>
              <w:bottom w:type="dxa" w:w="60"/>
              <w:right w:type="dxa" w:w="60"/>
            </w:tcMar>
          </w:tcPr>
          <w:p>
            <w:r>
              <w:rPr>
                <w:color w:val="000000"/>
                <w:sz w:val="18"/>
                <w:szCs w:val="18"/>
              </w:rPr>
              <w:t xml:space="preserve">R4</w:t>
            </w:r>
          </w:p>
        </w:tc>
        <w:tc>
          <w:tcPr>
            <w:tcW w:type="dxa" w:w="2200"/>
            <w:shd w:fill="F5F5F5" w:val="clear"/>
            <w:tcMar>
              <w:top w:type="dxa" w:w="60"/>
              <w:left w:type="dxa" w:w="100"/>
              <w:bottom w:type="dxa" w:w="60"/>
              <w:right w:type="dxa" w:w="60"/>
            </w:tcMar>
          </w:tcPr>
          <w:p>
            <w:r>
              <w:rPr>
                <w:color w:val="000000"/>
                <w:sz w:val="18"/>
                <w:szCs w:val="18"/>
              </w:rPr>
              <w:t xml:space="preserve">User not found in DB on first SSO login</w:t>
            </w:r>
          </w:p>
        </w:tc>
        <w:tc>
          <w:tcPr>
            <w:tcW w:type="dxa" w:w="1000"/>
            <w:shd w:fill="F5F5F5" w:val="clear"/>
            <w:tcMar>
              <w:top w:type="dxa" w:w="60"/>
              <w:left w:type="dxa" w:w="100"/>
              <w:bottom w:type="dxa" w:w="60"/>
              <w:right w:type="dxa" w:w="60"/>
            </w:tcMar>
          </w:tcPr>
          <w:p>
            <w:r>
              <w:rPr>
                <w:color w:val="000000"/>
                <w:sz w:val="18"/>
                <w:szCs w:val="18"/>
              </w:rPr>
              <w:t xml:space="preserve">Certain (by design)</w:t>
            </w:r>
          </w:p>
        </w:tc>
        <w:tc>
          <w:tcPr>
            <w:tcW w:type="dxa" w:w="800"/>
            <w:shd w:fill="F5F5F5" w:val="clear"/>
            <w:tcMar>
              <w:top w:type="dxa" w:w="60"/>
              <w:left w:type="dxa" w:w="100"/>
              <w:bottom w:type="dxa" w:w="60"/>
              <w:right w:type="dxa" w:w="60"/>
            </w:tcMar>
          </w:tcPr>
          <w:p>
            <w:r>
              <w:rPr>
                <w:color w:val="000000"/>
                <w:sz w:val="18"/>
                <w:szCs w:val="18"/>
              </w:rPr>
              <w:t xml:space="preserve">LOW — Handled by JIT provisioning Path A</w:t>
            </w:r>
          </w:p>
        </w:tc>
        <w:tc>
          <w:tcPr>
            <w:tcW w:type="dxa" w:w="5100"/>
            <w:shd w:fill="F5F5F5" w:val="clear"/>
            <w:tcMar>
              <w:top w:type="dxa" w:w="60"/>
              <w:left w:type="dxa" w:w="100"/>
              <w:bottom w:type="dxa" w:w="60"/>
              <w:right w:type="dxa" w:w="60"/>
            </w:tcMar>
          </w:tcPr>
          <w:p>
            <w:r>
              <w:rPr>
                <w:color w:val="000000"/>
                <w:sz w:val="18"/>
                <w:szCs w:val="18"/>
              </w:rPr>
              <w:t xml:space="preserve">JIT provisioning is the designed response. Default role (REQUESTER) assigned. Self-healing Path B upgrades role on next request if Entra groups are present.</w:t>
            </w:r>
          </w:p>
        </w:tc>
      </w:tr>
      <w:tr>
        <w:tc>
          <w:tcPr>
            <w:tcW w:type="dxa" w:w="400"/>
            <w:shd w:fill="FFFFFF" w:val="clear"/>
            <w:tcMar>
              <w:top w:type="dxa" w:w="60"/>
              <w:left w:type="dxa" w:w="100"/>
              <w:bottom w:type="dxa" w:w="60"/>
              <w:right w:type="dxa" w:w="60"/>
            </w:tcMar>
          </w:tcPr>
          <w:p>
            <w:r>
              <w:rPr>
                <w:color w:val="000000"/>
                <w:sz w:val="18"/>
                <w:szCs w:val="18"/>
              </w:rPr>
              <w:t xml:space="preserve">R5</w:t>
            </w:r>
          </w:p>
        </w:tc>
        <w:tc>
          <w:tcPr>
            <w:tcW w:type="dxa" w:w="2200"/>
            <w:shd w:fill="FFFFFF" w:val="clear"/>
            <w:tcMar>
              <w:top w:type="dxa" w:w="60"/>
              <w:left w:type="dxa" w:w="100"/>
              <w:bottom w:type="dxa" w:w="60"/>
              <w:right w:type="dxa" w:w="60"/>
            </w:tcMar>
          </w:tcPr>
          <w:p>
            <w:r>
              <w:rPr>
                <w:color w:val="000000"/>
                <w:sz w:val="18"/>
                <w:szCs w:val="18"/>
              </w:rPr>
              <w:t xml:space="preserve">Slot swap scrambles environment configuration</w:t>
            </w:r>
          </w:p>
        </w:tc>
        <w:tc>
          <w:tcPr>
            <w:tcW w:type="dxa" w:w="1000"/>
            <w:shd w:fill="FFFFFF" w:val="clear"/>
            <w:tcMar>
              <w:top w:type="dxa" w:w="60"/>
              <w:left w:type="dxa" w:w="100"/>
              <w:bottom w:type="dxa" w:w="60"/>
              <w:right w:type="dxa" w:w="60"/>
            </w:tcMar>
          </w:tcPr>
          <w:p>
            <w:r>
              <w:rPr>
                <w:color w:val="000000"/>
                <w:sz w:val="18"/>
                <w:szCs w:val="18"/>
              </w:rPr>
              <w:t xml:space="preserve">Low</w:t>
            </w:r>
          </w:p>
        </w:tc>
        <w:tc>
          <w:tcPr>
            <w:tcW w:type="dxa" w:w="800"/>
            <w:shd w:fill="FFFFFF" w:val="clear"/>
            <w:tcMar>
              <w:top w:type="dxa" w:w="60"/>
              <w:left w:type="dxa" w:w="100"/>
              <w:bottom w:type="dxa" w:w="60"/>
              <w:right w:type="dxa" w:w="60"/>
            </w:tcMar>
          </w:tcPr>
          <w:p>
            <w:r>
              <w:rPr>
                <w:color w:val="000000"/>
                <w:sz w:val="18"/>
                <w:szCs w:val="18"/>
              </w:rPr>
              <w:t xml:space="preserve">HIGH — PROD app connects to wrong DB</w:t>
            </w:r>
          </w:p>
        </w:tc>
        <w:tc>
          <w:tcPr>
            <w:tcW w:type="dxa" w:w="5100"/>
            <w:shd w:fill="FFFFFF" w:val="clear"/>
            <w:tcMar>
              <w:top w:type="dxa" w:w="60"/>
              <w:left w:type="dxa" w:w="100"/>
              <w:bottom w:type="dxa" w:w="60"/>
              <w:right w:type="dxa" w:w="60"/>
            </w:tcMar>
          </w:tcPr>
          <w:p>
            <w:r>
              <w:rPr>
                <w:color w:val="000000"/>
                <w:sz w:val="18"/>
                <w:szCs w:val="18"/>
              </w:rPr>
              <w:t xml:space="preserve">All environment-specific settings marked as Sticky Deployment Slot Settings. Post-swap smoke tests validate DB connectivity and Key Vault access.</w:t>
            </w:r>
          </w:p>
        </w:tc>
      </w:tr>
      <w:tr>
        <w:tc>
          <w:tcPr>
            <w:tcW w:type="dxa" w:w="400"/>
            <w:shd w:fill="F5F5F5" w:val="clear"/>
            <w:tcMar>
              <w:top w:type="dxa" w:w="60"/>
              <w:left w:type="dxa" w:w="100"/>
              <w:bottom w:type="dxa" w:w="60"/>
              <w:right w:type="dxa" w:w="60"/>
            </w:tcMar>
          </w:tcPr>
          <w:p>
            <w:r>
              <w:rPr>
                <w:color w:val="000000"/>
                <w:sz w:val="18"/>
                <w:szCs w:val="18"/>
              </w:rPr>
              <w:t xml:space="preserve">R6</w:t>
            </w:r>
          </w:p>
        </w:tc>
        <w:tc>
          <w:tcPr>
            <w:tcW w:type="dxa" w:w="2200"/>
            <w:shd w:fill="F5F5F5" w:val="clear"/>
            <w:tcMar>
              <w:top w:type="dxa" w:w="60"/>
              <w:left w:type="dxa" w:w="100"/>
              <w:bottom w:type="dxa" w:w="60"/>
              <w:right w:type="dxa" w:w="60"/>
            </w:tcMar>
          </w:tcPr>
          <w:p>
            <w:r>
              <w:rPr>
                <w:color w:val="000000"/>
                <w:sz w:val="18"/>
                <w:szCs w:val="18"/>
              </w:rPr>
              <w:t xml:space="preserve">Entra security group typo (REQUESTOR vs REQUESTER)</w:t>
            </w:r>
          </w:p>
        </w:tc>
        <w:tc>
          <w:tcPr>
            <w:tcW w:type="dxa" w:w="1000"/>
            <w:shd w:fill="F5F5F5" w:val="clear"/>
            <w:tcMar>
              <w:top w:type="dxa" w:w="60"/>
              <w:left w:type="dxa" w:w="100"/>
              <w:bottom w:type="dxa" w:w="60"/>
              <w:right w:type="dxa" w:w="60"/>
            </w:tcMar>
          </w:tcPr>
          <w:p>
            <w:r>
              <w:rPr>
                <w:color w:val="000000"/>
                <w:sz w:val="18"/>
                <w:szCs w:val="18"/>
              </w:rPr>
              <w:t xml:space="preserve">High (observed)</w:t>
            </w:r>
          </w:p>
        </w:tc>
        <w:tc>
          <w:tcPr>
            <w:tcW w:type="dxa" w:w="800"/>
            <w:shd w:fill="F5F5F5" w:val="clear"/>
            <w:tcMar>
              <w:top w:type="dxa" w:w="60"/>
              <w:left w:type="dxa" w:w="100"/>
              <w:bottom w:type="dxa" w:w="60"/>
              <w:right w:type="dxa" w:w="60"/>
            </w:tcMar>
          </w:tcPr>
          <w:p>
            <w:r>
              <w:rPr>
                <w:color w:val="000000"/>
                <w:sz w:val="18"/>
                <w:szCs w:val="18"/>
              </w:rPr>
              <w:t xml:space="preserve">MEDIUM — User gets wrong or no role</w:t>
            </w:r>
          </w:p>
        </w:tc>
        <w:tc>
          <w:tcPr>
            <w:tcW w:type="dxa" w:w="5100"/>
            <w:shd w:fill="F5F5F5" w:val="clear"/>
            <w:tcMar>
              <w:top w:type="dxa" w:w="60"/>
              <w:left w:type="dxa" w:w="100"/>
              <w:bottom w:type="dxa" w:w="60"/>
              <w:right w:type="dxa" w:w="60"/>
            </w:tcMar>
          </w:tcPr>
          <w:p>
            <w:r>
              <w:rPr>
                <w:color w:val="000000"/>
                <w:sz w:val="18"/>
                <w:szCs w:val="18"/>
              </w:rPr>
              <w:t xml:space="preserve">Inline normalisation in AuthenticationServiceExtensions.cs replaces -REQUESTOR with -REQUESTER. Known typos should be documented and IT notified to fix at source.</w:t>
            </w:r>
          </w:p>
        </w:tc>
      </w:tr>
      <w:tr>
        <w:tc>
          <w:tcPr>
            <w:tcW w:type="dxa" w:w="400"/>
            <w:shd w:fill="FFFFFF" w:val="clear"/>
            <w:tcMar>
              <w:top w:type="dxa" w:w="60"/>
              <w:left w:type="dxa" w:w="100"/>
              <w:bottom w:type="dxa" w:w="60"/>
              <w:right w:type="dxa" w:w="60"/>
            </w:tcMar>
          </w:tcPr>
          <w:p>
            <w:r>
              <w:rPr>
                <w:color w:val="000000"/>
                <w:sz w:val="18"/>
                <w:szCs w:val="18"/>
              </w:rPr>
              <w:t xml:space="preserve">R7</w:t>
            </w:r>
          </w:p>
        </w:tc>
        <w:tc>
          <w:tcPr>
            <w:tcW w:type="dxa" w:w="2200"/>
            <w:shd w:fill="FFFFFF" w:val="clear"/>
            <w:tcMar>
              <w:top w:type="dxa" w:w="60"/>
              <w:left w:type="dxa" w:w="100"/>
              <w:bottom w:type="dxa" w:w="60"/>
              <w:right w:type="dxa" w:w="60"/>
            </w:tcMar>
          </w:tcPr>
          <w:p>
            <w:r>
              <w:rPr>
                <w:color w:val="000000"/>
                <w:sz w:val="18"/>
                <w:szCs w:val="18"/>
              </w:rPr>
              <w:t xml:space="preserve">MSAL token cache miss on multi-instance App Service</w:t>
            </w:r>
          </w:p>
        </w:tc>
        <w:tc>
          <w:tcPr>
            <w:tcW w:type="dxa" w:w="1000"/>
            <w:shd w:fill="FFFFFF" w:val="clear"/>
            <w:tcMar>
              <w:top w:type="dxa" w:w="60"/>
              <w:left w:type="dxa" w:w="100"/>
              <w:bottom w:type="dxa" w:w="60"/>
              <w:right w:type="dxa" w:w="60"/>
            </w:tcMar>
          </w:tcPr>
          <w:p>
            <w:r>
              <w:rPr>
                <w:color w:val="000000"/>
                <w:sz w:val="18"/>
                <w:szCs w:val="18"/>
              </w:rPr>
              <w:t xml:space="preserve">Medium</w:t>
            </w:r>
          </w:p>
        </w:tc>
        <w:tc>
          <w:tcPr>
            <w:tcW w:type="dxa" w:w="800"/>
            <w:shd w:fill="FFFFFF" w:val="clear"/>
            <w:tcMar>
              <w:top w:type="dxa" w:w="60"/>
              <w:left w:type="dxa" w:w="100"/>
              <w:bottom w:type="dxa" w:w="60"/>
              <w:right w:type="dxa" w:w="60"/>
            </w:tcMar>
          </w:tcPr>
          <w:p>
            <w:r>
              <w:rPr>
                <w:color w:val="000000"/>
                <w:sz w:val="18"/>
                <w:szCs w:val="18"/>
              </w:rPr>
              <w:t xml:space="preserve">MEDIUM — User re-authenticated mid-session</w:t>
            </w:r>
          </w:p>
        </w:tc>
        <w:tc>
          <w:tcPr>
            <w:tcW w:type="dxa" w:w="5100"/>
            <w:shd w:fill="FFFFFF" w:val="clear"/>
            <w:tcMar>
              <w:top w:type="dxa" w:w="60"/>
              <w:left w:type="dxa" w:w="100"/>
              <w:bottom w:type="dxa" w:w="60"/>
              <w:right w:type="dxa" w:w="60"/>
            </w:tcMar>
          </w:tcPr>
          <w:p>
            <w:r>
              <w:rPr>
                <w:color w:val="000000"/>
                <w:sz w:val="18"/>
                <w:szCs w:val="18"/>
              </w:rPr>
              <w:t xml:space="preserve">Replace IMemoryCache with IDistributedCache backed by Redis (Azure Cache for Redis). One Redis instance per environment.</w:t>
            </w:r>
          </w:p>
        </w:tc>
      </w:tr>
      <w:tr>
        <w:tc>
          <w:tcPr>
            <w:tcW w:type="dxa" w:w="400"/>
            <w:shd w:fill="F5F5F5" w:val="clear"/>
            <w:tcMar>
              <w:top w:type="dxa" w:w="60"/>
              <w:left w:type="dxa" w:w="100"/>
              <w:bottom w:type="dxa" w:w="60"/>
              <w:right w:type="dxa" w:w="60"/>
            </w:tcMar>
          </w:tcPr>
          <w:p>
            <w:r>
              <w:rPr>
                <w:color w:val="000000"/>
                <w:sz w:val="18"/>
                <w:szCs w:val="18"/>
              </w:rPr>
              <w:t xml:space="preserve">R8</w:t>
            </w:r>
          </w:p>
        </w:tc>
        <w:tc>
          <w:tcPr>
            <w:tcW w:type="dxa" w:w="2200"/>
            <w:shd w:fill="F5F5F5" w:val="clear"/>
            <w:tcMar>
              <w:top w:type="dxa" w:w="60"/>
              <w:left w:type="dxa" w:w="100"/>
              <w:bottom w:type="dxa" w:w="60"/>
              <w:right w:type="dxa" w:w="60"/>
            </w:tcMar>
          </w:tcPr>
          <w:p>
            <w:r>
              <w:rPr>
                <w:color w:val="000000"/>
                <w:sz w:val="18"/>
                <w:szCs w:val="18"/>
              </w:rPr>
              <w:t xml:space="preserve">Self-healing sync fires on every request (DB thrash)</w:t>
            </w:r>
          </w:p>
        </w:tc>
        <w:tc>
          <w:tcPr>
            <w:tcW w:type="dxa" w:w="1000"/>
            <w:shd w:fill="F5F5F5" w:val="clear"/>
            <w:tcMar>
              <w:top w:type="dxa" w:w="60"/>
              <w:left w:type="dxa" w:w="100"/>
              <w:bottom w:type="dxa" w:w="60"/>
              <w:right w:type="dxa" w:w="60"/>
            </w:tcMar>
          </w:tcPr>
          <w:p>
            <w:r>
              <w:rPr>
                <w:color w:val="000000"/>
                <w:sz w:val="18"/>
                <w:szCs w:val="18"/>
              </w:rPr>
              <w:t xml:space="preserve">Low</w:t>
            </w:r>
          </w:p>
        </w:tc>
        <w:tc>
          <w:tcPr>
            <w:tcW w:type="dxa" w:w="800"/>
            <w:shd w:fill="F5F5F5" w:val="clear"/>
            <w:tcMar>
              <w:top w:type="dxa" w:w="60"/>
              <w:left w:type="dxa" w:w="100"/>
              <w:bottom w:type="dxa" w:w="60"/>
              <w:right w:type="dxa" w:w="60"/>
            </w:tcMar>
          </w:tcPr>
          <w:p>
            <w:r>
              <w:rPr>
                <w:color w:val="000000"/>
                <w:sz w:val="18"/>
                <w:szCs w:val="18"/>
              </w:rPr>
              <w:t xml:space="preserve">MEDIUM — Excess DB writes under load</w:t>
            </w:r>
          </w:p>
        </w:tc>
        <w:tc>
          <w:tcPr>
            <w:tcW w:type="dxa" w:w="5100"/>
            <w:shd w:fill="F5F5F5" w:val="clear"/>
            <w:tcMar>
              <w:top w:type="dxa" w:w="60"/>
              <w:left w:type="dxa" w:w="100"/>
              <w:bottom w:type="dxa" w:w="60"/>
              <w:right w:type="dxa" w:w="60"/>
            </w:tcMar>
          </w:tcPr>
          <w:p>
            <w:r>
              <w:rPr>
                <w:color w:val="000000"/>
                <w:sz w:val="18"/>
                <w:szCs w:val="18"/>
              </w:rPr>
              <w:t xml:space="preserve">Path B only fires when DB role = REQUESTER AND header contains elevated role. Once DB is updated, Path B does not re-trigger. Monitor with NLog metrics.</w:t>
            </w:r>
          </w:p>
        </w:tc>
      </w:tr>
      <w:tr>
        <w:tc>
          <w:tcPr>
            <w:tcW w:type="dxa" w:w="400"/>
            <w:shd w:fill="FFFFFF" w:val="clear"/>
            <w:tcMar>
              <w:top w:type="dxa" w:w="60"/>
              <w:left w:type="dxa" w:w="100"/>
              <w:bottom w:type="dxa" w:w="60"/>
              <w:right w:type="dxa" w:w="60"/>
            </w:tcMar>
          </w:tcPr>
          <w:p>
            <w:r>
              <w:rPr>
                <w:color w:val="000000"/>
                <w:sz w:val="18"/>
                <w:szCs w:val="18"/>
              </w:rPr>
              <w:t xml:space="preserve">R9</w:t>
            </w:r>
          </w:p>
        </w:tc>
        <w:tc>
          <w:tcPr>
            <w:tcW w:type="dxa" w:w="2200"/>
            <w:shd w:fill="FFFFFF" w:val="clear"/>
            <w:tcMar>
              <w:top w:type="dxa" w:w="60"/>
              <w:left w:type="dxa" w:w="100"/>
              <w:bottom w:type="dxa" w:w="60"/>
              <w:right w:type="dxa" w:w="60"/>
            </w:tcMar>
          </w:tcPr>
          <w:p>
            <w:r>
              <w:rPr>
                <w:color w:val="000000"/>
                <w:sz w:val="18"/>
                <w:szCs w:val="18"/>
              </w:rPr>
              <w:t xml:space="preserve">Refresh token revocation not propagated to IMP</w:t>
            </w:r>
          </w:p>
        </w:tc>
        <w:tc>
          <w:tcPr>
            <w:tcW w:type="dxa" w:w="1000"/>
            <w:shd w:fill="FFFFFF" w:val="clear"/>
            <w:tcMar>
              <w:top w:type="dxa" w:w="60"/>
              <w:left w:type="dxa" w:w="100"/>
              <w:bottom w:type="dxa" w:w="60"/>
              <w:right w:type="dxa" w:w="60"/>
            </w:tcMar>
          </w:tcPr>
          <w:p>
            <w:r>
              <w:rPr>
                <w:color w:val="000000"/>
                <w:sz w:val="18"/>
                <w:szCs w:val="18"/>
              </w:rPr>
              <w:t xml:space="preserve">Low</w:t>
            </w:r>
          </w:p>
        </w:tc>
        <w:tc>
          <w:tcPr>
            <w:tcW w:type="dxa" w:w="800"/>
            <w:shd w:fill="FFFFFF" w:val="clear"/>
            <w:tcMar>
              <w:top w:type="dxa" w:w="60"/>
              <w:left w:type="dxa" w:w="100"/>
              <w:bottom w:type="dxa" w:w="60"/>
              <w:right w:type="dxa" w:w="60"/>
            </w:tcMar>
          </w:tcPr>
          <w:p>
            <w:r>
              <w:rPr>
                <w:color w:val="000000"/>
                <w:sz w:val="18"/>
                <w:szCs w:val="18"/>
              </w:rPr>
              <w:t xml:space="preserve">MEDIUM — User continues active session after IT revokes access</w:t>
            </w:r>
          </w:p>
        </w:tc>
        <w:tc>
          <w:tcPr>
            <w:tcW w:type="dxa" w:w="5100"/>
            <w:shd w:fill="FFFFFF" w:val="clear"/>
            <w:tcMar>
              <w:top w:type="dxa" w:w="60"/>
              <w:left w:type="dxa" w:w="100"/>
              <w:bottom w:type="dxa" w:w="60"/>
              <w:right w:type="dxa" w:w="60"/>
            </w:tcMar>
          </w:tcPr>
          <w:p>
            <w:r>
              <w:rPr>
                <w:color w:val="000000"/>
                <w:sz w:val="18"/>
                <w:szCs w:val="18"/>
              </w:rPr>
              <w:t xml:space="preserve">MSAL will fail to refresh the access token on next silent acquire attempt. API returns 401. UI redirects to login. Session terminates within one access token lifetime (~60 min).</w:t>
            </w:r>
          </w:p>
        </w:tc>
      </w:tr>
      <w:tr>
        <w:tc>
          <w:tcPr>
            <w:tcW w:type="dxa" w:w="400"/>
            <w:shd w:fill="F5F5F5" w:val="clear"/>
            <w:tcMar>
              <w:top w:type="dxa" w:w="60"/>
              <w:left w:type="dxa" w:w="100"/>
              <w:bottom w:type="dxa" w:w="60"/>
              <w:right w:type="dxa" w:w="60"/>
            </w:tcMar>
          </w:tcPr>
          <w:p>
            <w:r>
              <w:rPr>
                <w:color w:val="000000"/>
                <w:sz w:val="18"/>
                <w:szCs w:val="18"/>
              </w:rPr>
              <w:t xml:space="preserve">R10</w:t>
            </w:r>
          </w:p>
        </w:tc>
        <w:tc>
          <w:tcPr>
            <w:tcW w:type="dxa" w:w="2200"/>
            <w:shd w:fill="F5F5F5" w:val="clear"/>
            <w:tcMar>
              <w:top w:type="dxa" w:w="60"/>
              <w:left w:type="dxa" w:w="100"/>
              <w:bottom w:type="dxa" w:w="60"/>
              <w:right w:type="dxa" w:w="60"/>
            </w:tcMar>
          </w:tcPr>
          <w:p>
            <w:r>
              <w:rPr>
                <w:color w:val="000000"/>
                <w:sz w:val="18"/>
                <w:szCs w:val="18"/>
              </w:rPr>
              <w:t xml:space="preserve">Graph API rate limiting</w:t>
            </w:r>
          </w:p>
        </w:tc>
        <w:tc>
          <w:tcPr>
            <w:tcW w:type="dxa" w:w="1000"/>
            <w:shd w:fill="F5F5F5" w:val="clear"/>
            <w:tcMar>
              <w:top w:type="dxa" w:w="60"/>
              <w:left w:type="dxa" w:w="100"/>
              <w:bottom w:type="dxa" w:w="60"/>
              <w:right w:type="dxa" w:w="60"/>
            </w:tcMar>
          </w:tcPr>
          <w:p>
            <w:r>
              <w:rPr>
                <w:color w:val="000000"/>
                <w:sz w:val="18"/>
                <w:szCs w:val="18"/>
              </w:rPr>
              <w:t xml:space="preserve">Low</w:t>
            </w:r>
          </w:p>
        </w:tc>
        <w:tc>
          <w:tcPr>
            <w:tcW w:type="dxa" w:w="800"/>
            <w:shd w:fill="F5F5F5" w:val="clear"/>
            <w:tcMar>
              <w:top w:type="dxa" w:w="60"/>
              <w:left w:type="dxa" w:w="100"/>
              <w:bottom w:type="dxa" w:w="60"/>
              <w:right w:type="dxa" w:w="60"/>
            </w:tcMar>
          </w:tcPr>
          <w:p>
            <w:r>
              <w:rPr>
                <w:color w:val="000000"/>
                <w:sz w:val="18"/>
                <w:szCs w:val="18"/>
              </w:rPr>
              <w:t xml:space="preserve">LOW — Retry degrades login performance</w:t>
            </w:r>
          </w:p>
        </w:tc>
        <w:tc>
          <w:tcPr>
            <w:tcW w:type="dxa" w:w="5100"/>
            <w:shd w:fill="F5F5F5" w:val="clear"/>
            <w:tcMar>
              <w:top w:type="dxa" w:w="60"/>
              <w:left w:type="dxa" w:w="100"/>
              <w:bottom w:type="dxa" w:w="60"/>
              <w:right w:type="dxa" w:w="60"/>
            </w:tcMar>
          </w:tcPr>
          <w:p>
            <w:r>
              <w:rPr>
                <w:color w:val="000000"/>
                <w:sz w:val="18"/>
                <w:szCs w:val="18"/>
              </w:rPr>
              <w:t xml:space="preserve">Graph calls occur only once per login (OnTokenValidated), cached for 60 minutes. Rate limiting is unlikely with normal user volumes.</w:t>
            </w:r>
          </w:p>
        </w:tc>
      </w:tr>
    </w:tbl>
    <w:p>
      <w:r>
        <w:br w:type="page"/>
      </w:r>
    </w:p>
    <w:tbl>
      <w:tblPr>
        <w:tblW w:type="pct" w:w="100%"/>
        <w:tblBorders>
          <w:top w:val="none"/>
          <w:left w:val="none"/>
          <w:bottom w:val="none"/>
          <w:right w:val="none"/>
          <w:insideH w:val="single" w:color="auto" w:sz="4"/>
          <w:insideV w:val="single" w:color="auto" w:sz="4"/>
        </w:tblBorders>
      </w:tblPr>
      <w:tblGrid>
        <w:gridCol w:w="1200"/>
        <w:gridCol w:w="8300"/>
      </w:tblGrid>
      <w:tr>
        <w:tc>
          <w:tcPr>
            <w:tcW w:type="dxa" w:w="1200"/>
            <w:shd w:fill="0D2B5C" w:val="clear"/>
            <w:tcMar>
              <w:top w:type="dxa" w:w="100"/>
              <w:left w:type="dxa" w:w="120"/>
              <w:bottom w:type="dxa" w:w="100"/>
              <w:right w:type="dxa" w:w="60"/>
            </w:tcMar>
            <w:vAlign w:val="center"/>
          </w:tcPr>
          <w:p>
            <w:pPr>
              <w:jc w:val="center"/>
            </w:pPr>
            <w:r>
              <w:rPr>
                <w:rFonts w:ascii="Calibri" w:cs="Calibri" w:eastAsia="Calibri" w:hAnsi="Calibri"/>
                <w:b/>
                <w:bCs/>
                <w:color w:val="FFFFFF"/>
                <w:sz w:val="32"/>
                <w:szCs w:val="32"/>
              </w:rPr>
              <w:t xml:space="preserve">§12</w:t>
            </w:r>
          </w:p>
        </w:tc>
        <w:tc>
          <w:tcPr>
            <w:tcW w:type="dxa" w:w="8300"/>
            <w:shd w:fill="E3EEF9" w:val="clear"/>
            <w:tcMar>
              <w:top w:type="dxa" w:w="80"/>
              <w:left w:type="dxa" w:w="160"/>
              <w:bottom w:type="dxa" w:w="80"/>
              <w:right w:type="dxa" w:w="80"/>
            </w:tcMar>
          </w:tcPr>
          <w:p>
            <w:pPr>
              <w:spacing w:after="40" w:before="0"/>
            </w:pPr>
            <w:r>
              <w:rPr>
                <w:rFonts w:ascii="Calibri" w:cs="Calibri" w:eastAsia="Calibri" w:hAnsi="Calibri"/>
                <w:b/>
                <w:bCs/>
                <w:color w:val="0D2B5C"/>
                <w:sz w:val="26"/>
                <w:szCs w:val="26"/>
              </w:rPr>
              <w:t xml:space="preserve">Cloud Infrastructure &amp; Zero-Downtime Deployment</w:t>
            </w:r>
          </w:p>
          <w:p>
            <w:pPr>
              <w:spacing w:after="0" w:before="0"/>
            </w:pPr>
            <w:r>
              <w:rPr>
                <w:i/>
                <w:iCs/>
                <w:color w:val="006DA3"/>
                <w:sz w:val="18"/>
                <w:szCs w:val="18"/>
              </w:rPr>
              <w:t xml:space="preserve">Key Vault, Managed Identity, Blue-Green slot strategy</w:t>
            </w:r>
          </w:p>
        </w:tc>
      </w:tr>
    </w:tbl>
    <w:p/>
    <w:p>
      <w:pPr>
        <w:pStyle w:val="Heading2"/>
        <w:spacing w:after="120" w:before="320"/>
      </w:pPr>
      <w:r>
        <w:t xml:space="preserve">12.1  Key Vault Secret Reference Map</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3000"/>
        <w:gridCol w:w="2800"/>
        <w:gridCol w:w="3700"/>
      </w:tblGrid>
      <w:tr>
        <w:trPr>
          <w:tblHeader/>
        </w:trPr>
        <w:tc>
          <w:tcPr>
            <w:tcW w:type="dxa" w:w="3000"/>
            <w:shd w:fill="0D2B5C" w:val="clear"/>
            <w:tcMar>
              <w:top w:type="dxa" w:w="60"/>
              <w:left w:type="dxa" w:w="100"/>
              <w:bottom w:type="dxa" w:w="60"/>
              <w:right w:type="dxa" w:w="60"/>
            </w:tcMar>
          </w:tcPr>
          <w:p>
            <w:r>
              <w:rPr>
                <w:b/>
                <w:bCs/>
                <w:color w:val="FFFFFF"/>
                <w:sz w:val="18"/>
                <w:szCs w:val="18"/>
              </w:rPr>
              <w:t xml:space="preserve">Key Vault Secret Name</w:t>
            </w:r>
          </w:p>
        </w:tc>
        <w:tc>
          <w:tcPr>
            <w:tcW w:type="dxa" w:w="2800"/>
            <w:shd w:fill="0D2B5C" w:val="clear"/>
            <w:tcMar>
              <w:top w:type="dxa" w:w="60"/>
              <w:left w:type="dxa" w:w="100"/>
              <w:bottom w:type="dxa" w:w="60"/>
              <w:right w:type="dxa" w:w="60"/>
            </w:tcMar>
          </w:tcPr>
          <w:p>
            <w:r>
              <w:rPr>
                <w:b/>
                <w:bCs/>
                <w:color w:val="FFFFFF"/>
                <w:sz w:val="18"/>
                <w:szCs w:val="18"/>
              </w:rPr>
              <w:t xml:space="preserve">Maps To Config Key</w:t>
            </w:r>
          </w:p>
        </w:tc>
        <w:tc>
          <w:tcPr>
            <w:tcW w:type="dxa" w:w="3700"/>
            <w:shd w:fill="0D2B5C" w:val="clear"/>
            <w:tcMar>
              <w:top w:type="dxa" w:w="60"/>
              <w:left w:type="dxa" w:w="100"/>
              <w:bottom w:type="dxa" w:w="60"/>
              <w:right w:type="dxa" w:w="60"/>
            </w:tcMar>
          </w:tcPr>
          <w:p>
            <w:r>
              <w:rPr>
                <w:b/>
                <w:bCs/>
                <w:color w:val="FFFFFF"/>
                <w:sz w:val="18"/>
                <w:szCs w:val="18"/>
              </w:rPr>
              <w:t xml:space="preserve">Used By</w:t>
            </w:r>
          </w:p>
        </w:tc>
      </w:tr>
      <w:tr>
        <w:tc>
          <w:tcPr>
            <w:tcW w:type="dxa" w:w="3000"/>
            <w:shd w:fill="FFFFFF" w:val="clear"/>
            <w:tcMar>
              <w:top w:type="dxa" w:w="60"/>
              <w:left w:type="dxa" w:w="100"/>
              <w:bottom w:type="dxa" w:w="60"/>
              <w:right w:type="dxa" w:w="60"/>
            </w:tcMar>
          </w:tcPr>
          <w:p>
            <w:r>
              <w:rPr>
                <w:color w:val="000000"/>
                <w:sz w:val="18"/>
                <w:szCs w:val="18"/>
              </w:rPr>
              <w:t xml:space="preserve">AzureAd--ClientSecret</w:t>
            </w:r>
          </w:p>
        </w:tc>
        <w:tc>
          <w:tcPr>
            <w:tcW w:type="dxa" w:w="2800"/>
            <w:shd w:fill="FFFFFF" w:val="clear"/>
            <w:tcMar>
              <w:top w:type="dxa" w:w="60"/>
              <w:left w:type="dxa" w:w="100"/>
              <w:bottom w:type="dxa" w:w="60"/>
              <w:right w:type="dxa" w:w="60"/>
            </w:tcMar>
          </w:tcPr>
          <w:p>
            <w:r>
              <w:rPr>
                <w:color w:val="000000"/>
                <w:sz w:val="18"/>
                <w:szCs w:val="18"/>
              </w:rPr>
              <w:t xml:space="preserve">AzureAd:ClientSecret</w:t>
            </w:r>
          </w:p>
        </w:tc>
        <w:tc>
          <w:tcPr>
            <w:tcW w:type="dxa" w:w="3700"/>
            <w:shd w:fill="FFFFFF" w:val="clear"/>
            <w:tcMar>
              <w:top w:type="dxa" w:w="60"/>
              <w:left w:type="dxa" w:w="100"/>
              <w:bottom w:type="dxa" w:w="60"/>
              <w:right w:type="dxa" w:w="60"/>
            </w:tcMar>
          </w:tcPr>
          <w:p>
            <w:r>
              <w:rPr>
                <w:color w:val="000000"/>
                <w:sz w:val="18"/>
                <w:szCs w:val="18"/>
              </w:rPr>
              <w:t xml:space="preserve">UI App — OIDC confidential client</w:t>
            </w:r>
          </w:p>
        </w:tc>
      </w:tr>
      <w:tr>
        <w:tc>
          <w:tcPr>
            <w:tcW w:type="dxa" w:w="3000"/>
            <w:shd w:fill="F5F5F5" w:val="clear"/>
            <w:tcMar>
              <w:top w:type="dxa" w:w="60"/>
              <w:left w:type="dxa" w:w="100"/>
              <w:bottom w:type="dxa" w:w="60"/>
              <w:right w:type="dxa" w:w="60"/>
            </w:tcMar>
          </w:tcPr>
          <w:p>
            <w:r>
              <w:rPr>
                <w:color w:val="000000"/>
                <w:sz w:val="18"/>
                <w:szCs w:val="18"/>
              </w:rPr>
              <w:t xml:space="preserve">ConnectionStrings--DefaultConnection</w:t>
            </w:r>
          </w:p>
        </w:tc>
        <w:tc>
          <w:tcPr>
            <w:tcW w:type="dxa" w:w="2800"/>
            <w:shd w:fill="F5F5F5" w:val="clear"/>
            <w:tcMar>
              <w:top w:type="dxa" w:w="60"/>
              <w:left w:type="dxa" w:w="100"/>
              <w:bottom w:type="dxa" w:w="60"/>
              <w:right w:type="dxa" w:w="60"/>
            </w:tcMar>
          </w:tcPr>
          <w:p>
            <w:r>
              <w:rPr>
                <w:color w:val="000000"/>
                <w:sz w:val="18"/>
                <w:szCs w:val="18"/>
              </w:rPr>
              <w:t xml:space="preserve">ConnectionStrings:DefaultConnection</w:t>
            </w:r>
          </w:p>
        </w:tc>
        <w:tc>
          <w:tcPr>
            <w:tcW w:type="dxa" w:w="3700"/>
            <w:shd w:fill="F5F5F5" w:val="clear"/>
            <w:tcMar>
              <w:top w:type="dxa" w:w="60"/>
              <w:left w:type="dxa" w:w="100"/>
              <w:bottom w:type="dxa" w:w="60"/>
              <w:right w:type="dxa" w:w="60"/>
            </w:tcMar>
          </w:tcPr>
          <w:p>
            <w:r>
              <w:rPr>
                <w:color w:val="000000"/>
                <w:sz w:val="18"/>
                <w:szCs w:val="18"/>
              </w:rPr>
              <w:t xml:space="preserve">API App — Dapper SQL connection</w:t>
            </w:r>
          </w:p>
        </w:tc>
      </w:tr>
      <w:tr>
        <w:tc>
          <w:tcPr>
            <w:tcW w:type="dxa" w:w="3000"/>
            <w:shd w:fill="FFFFFF" w:val="clear"/>
            <w:tcMar>
              <w:top w:type="dxa" w:w="60"/>
              <w:left w:type="dxa" w:w="100"/>
              <w:bottom w:type="dxa" w:w="60"/>
              <w:right w:type="dxa" w:w="60"/>
            </w:tcMar>
          </w:tcPr>
          <w:p>
            <w:r>
              <w:rPr>
                <w:color w:val="000000"/>
                <w:sz w:val="18"/>
                <w:szCs w:val="18"/>
              </w:rPr>
              <w:t xml:space="preserve">Redis--ConnectionString</w:t>
            </w:r>
          </w:p>
        </w:tc>
        <w:tc>
          <w:tcPr>
            <w:tcW w:type="dxa" w:w="2800"/>
            <w:shd w:fill="FFFFFF" w:val="clear"/>
            <w:tcMar>
              <w:top w:type="dxa" w:w="60"/>
              <w:left w:type="dxa" w:w="100"/>
              <w:bottom w:type="dxa" w:w="60"/>
              <w:right w:type="dxa" w:w="60"/>
            </w:tcMar>
          </w:tcPr>
          <w:p>
            <w:r>
              <w:rPr>
                <w:color w:val="000000"/>
                <w:sz w:val="18"/>
                <w:szCs w:val="18"/>
              </w:rPr>
              <w:t xml:space="preserve">Redis:ConnectionString</w:t>
            </w:r>
          </w:p>
        </w:tc>
        <w:tc>
          <w:tcPr>
            <w:tcW w:type="dxa" w:w="3700"/>
            <w:shd w:fill="FFFFFF" w:val="clear"/>
            <w:tcMar>
              <w:top w:type="dxa" w:w="60"/>
              <w:left w:type="dxa" w:w="100"/>
              <w:bottom w:type="dxa" w:w="60"/>
              <w:right w:type="dxa" w:w="60"/>
            </w:tcMar>
          </w:tcPr>
          <w:p>
            <w:r>
              <w:rPr>
                <w:color w:val="000000"/>
                <w:sz w:val="18"/>
                <w:szCs w:val="18"/>
              </w:rPr>
              <w:t xml:space="preserve">UI + API — IDistributedCache</w:t>
            </w:r>
          </w:p>
        </w:tc>
      </w:tr>
      <w:tr>
        <w:tc>
          <w:tcPr>
            <w:tcW w:type="dxa" w:w="3000"/>
            <w:shd w:fill="F5F5F5" w:val="clear"/>
            <w:tcMar>
              <w:top w:type="dxa" w:w="60"/>
              <w:left w:type="dxa" w:w="100"/>
              <w:bottom w:type="dxa" w:w="60"/>
              <w:right w:type="dxa" w:w="60"/>
            </w:tcMar>
          </w:tcPr>
          <w:p>
            <w:r>
              <w:rPr>
                <w:color w:val="000000"/>
                <w:sz w:val="18"/>
                <w:szCs w:val="18"/>
              </w:rPr>
              <w:t xml:space="preserve">DownstreamApi--BaseUrl</w:t>
            </w:r>
          </w:p>
        </w:tc>
        <w:tc>
          <w:tcPr>
            <w:tcW w:type="dxa" w:w="2800"/>
            <w:shd w:fill="F5F5F5" w:val="clear"/>
            <w:tcMar>
              <w:top w:type="dxa" w:w="60"/>
              <w:left w:type="dxa" w:w="100"/>
              <w:bottom w:type="dxa" w:w="60"/>
              <w:right w:type="dxa" w:w="60"/>
            </w:tcMar>
          </w:tcPr>
          <w:p>
            <w:r>
              <w:rPr>
                <w:color w:val="000000"/>
                <w:sz w:val="18"/>
                <w:szCs w:val="18"/>
              </w:rPr>
              <w:t xml:space="preserve">DownstreamApi:BaseUrl</w:t>
            </w:r>
          </w:p>
        </w:tc>
        <w:tc>
          <w:tcPr>
            <w:tcW w:type="dxa" w:w="3700"/>
            <w:shd w:fill="F5F5F5" w:val="clear"/>
            <w:tcMar>
              <w:top w:type="dxa" w:w="60"/>
              <w:left w:type="dxa" w:w="100"/>
              <w:bottom w:type="dxa" w:w="60"/>
              <w:right w:type="dxa" w:w="60"/>
            </w:tcMar>
          </w:tcPr>
          <w:p>
            <w:r>
              <w:rPr>
                <w:color w:val="000000"/>
                <w:sz w:val="18"/>
                <w:szCs w:val="18"/>
              </w:rPr>
              <w:t xml:space="preserve">UI App — API base URL per env</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left w:val="single" w:color="0078D4" w:sz="16"/>
              <w:bottom w:val="none"/>
              <w:right w:val="none"/>
            </w:tcBorders>
            <w:shd w:fill="E3EEF9" w:val="clear"/>
            <w:tcMar>
              <w:top w:type="dxa" w:w="80"/>
              <w:left w:type="dxa" w:w="140"/>
              <w:bottom w:type="dxa" w:w="80"/>
              <w:right w:type="dxa" w:w="80"/>
            </w:tcMar>
          </w:tcPr>
          <w:p>
            <w:pPr>
              <w:spacing w:after="40" w:before="0"/>
            </w:pPr>
            <w:r>
              <w:rPr>
                <w:b/>
                <w:bCs/>
                <w:color w:val="0078D4"/>
                <w:sz w:val="20"/>
                <w:szCs w:val="20"/>
              </w:rPr>
              <w:t xml:space="preserve">Double-Dash Mapping Rule</w:t>
            </w:r>
          </w:p>
          <w:p>
            <w:pPr>
              <w:spacing w:after="0" w:before="0"/>
            </w:pPr>
            <w:r>
              <w:rPr>
                <w:color w:val="424242"/>
                <w:sz w:val="19"/>
                <w:szCs w:val="19"/>
              </w:rPr>
              <w:t xml:space="preserve">Azure Key Vault does not support colons in secret names. .NET Configuration maps double-dash (--) to colon (:) automatically. Example: Key Vault secret 'AzureAd--ClientSecret' becomes 'AzureAd:ClientSecret' in the configuration system at runtime. This is distinct from App Service's double-underscore (__) rule for nested JSON keys.</w:t>
            </w:r>
          </w:p>
        </w:tc>
      </w:tr>
    </w:tbl>
    <w:p/>
    <w:p>
      <w:pPr>
        <w:pStyle w:val="Heading2"/>
        <w:spacing w:after="120" w:before="320"/>
      </w:pPr>
      <w:r>
        <w:t xml:space="preserve">12.2  Managed Identity Setup</w:t>
      </w:r>
    </w:p>
    <w:p>
      <w:pPr>
        <w:pStyle w:val="ListParagraph"/>
        <w:numPr>
          <w:ilvl w:val="0"/>
          <w:numId w:val="1"/>
        </w:numPr>
        <w:spacing w:after="40" w:before="40"/>
        <w:ind w:left="360"/>
      </w:pPr>
      <w:r>
        <w:rPr>
          <w:sz w:val="20"/>
          <w:szCs w:val="20"/>
        </w:rPr>
        <w:t xml:space="preserve">Each App Service (UI and API, per environment) has a System-Assigned Managed Identity enabled.</w:t>
      </w:r>
    </w:p>
    <w:p>
      <w:pPr>
        <w:pStyle w:val="ListParagraph"/>
        <w:numPr>
          <w:ilvl w:val="0"/>
          <w:numId w:val="1"/>
        </w:numPr>
        <w:spacing w:after="40" w:before="40"/>
        <w:ind w:left="360"/>
      </w:pPr>
      <w:r>
        <w:rPr>
          <w:sz w:val="20"/>
          <w:szCs w:val="20"/>
        </w:rPr>
        <w:t xml:space="preserve">Each Managed Identity is granted the Key Vault Secrets User role on its corresponding Key Vault.</w:t>
      </w:r>
    </w:p>
    <w:p>
      <w:pPr>
        <w:pStyle w:val="ListParagraph"/>
        <w:numPr>
          <w:ilvl w:val="0"/>
          <w:numId w:val="1"/>
        </w:numPr>
        <w:spacing w:after="40" w:before="40"/>
        <w:ind w:left="360"/>
      </w:pPr>
      <w:r>
        <w:rPr>
          <w:sz w:val="20"/>
          <w:szCs w:val="20"/>
        </w:rPr>
        <w:t xml:space="preserve">No service principal credentials are needed — Azure handles token exchange internally.</w:t>
      </w:r>
    </w:p>
    <w:p>
      <w:pPr>
        <w:pStyle w:val="ListParagraph"/>
        <w:numPr>
          <w:ilvl w:val="0"/>
          <w:numId w:val="1"/>
        </w:numPr>
        <w:spacing w:after="40" w:before="40"/>
        <w:ind w:left="360"/>
      </w:pPr>
      <w:r>
        <w:rPr>
          <w:sz w:val="20"/>
          <w:szCs w:val="20"/>
        </w:rPr>
        <w:t xml:space="preserve">DefaultAzureCredential() in code automatically uses Managed Identity in Azure and developer credentials locally.</w:t>
      </w:r>
    </w:p>
    <w:p/>
    <w:p>
      <w:pPr>
        <w:pStyle w:val="Heading2"/>
        <w:spacing w:after="120" w:before="320"/>
      </w:pPr>
      <w:r>
        <w:t xml:space="preserve">12.3  Zero-Downtime Blue-Green Swap</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Deployment Flow:</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1. Deploy new build to STAGING slot</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Key Vault connectivity validated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DB migration scripts executed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Health check endpoint returns 200</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2. Azure performs atomic network routing switch</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STAGING slot becomes PRODUCTION</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Old PRODUCTION becomes STAGING (kept for rollback)</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Sticky settings remain bound to each slot</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3. Post-swap smoke tests execute automatically</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Authentication flow tested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API health check validated</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4. If error spike detected within 5 minutes:</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Automatic rollback swap reverses routing</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Old container back online in &lt; 30 seconds</w:t>
      </w:r>
    </w:p>
    <w:p>
      <w:r>
        <w:br w:type="page"/>
      </w:r>
    </w:p>
    <w:tbl>
      <w:tblPr>
        <w:tblW w:type="pct" w:w="100%"/>
        <w:tblBorders>
          <w:top w:val="none"/>
          <w:left w:val="none"/>
          <w:bottom w:val="none"/>
          <w:right w:val="none"/>
          <w:insideH w:val="single" w:color="auto" w:sz="4"/>
          <w:insideV w:val="single" w:color="auto" w:sz="4"/>
        </w:tblBorders>
      </w:tblPr>
      <w:tblGrid>
        <w:gridCol w:w="1200"/>
        <w:gridCol w:w="8300"/>
      </w:tblGrid>
      <w:tr>
        <w:tc>
          <w:tcPr>
            <w:tcW w:type="dxa" w:w="1200"/>
            <w:shd w:fill="0D2B5C" w:val="clear"/>
            <w:tcMar>
              <w:top w:type="dxa" w:w="100"/>
              <w:left w:type="dxa" w:w="120"/>
              <w:bottom w:type="dxa" w:w="100"/>
              <w:right w:type="dxa" w:w="60"/>
            </w:tcMar>
            <w:vAlign w:val="center"/>
          </w:tcPr>
          <w:p>
            <w:pPr>
              <w:jc w:val="center"/>
            </w:pPr>
            <w:r>
              <w:rPr>
                <w:rFonts w:ascii="Calibri" w:cs="Calibri" w:eastAsia="Calibri" w:hAnsi="Calibri"/>
                <w:b/>
                <w:bCs/>
                <w:color w:val="FFFFFF"/>
                <w:sz w:val="32"/>
                <w:szCs w:val="32"/>
              </w:rPr>
              <w:t xml:space="preserve">§13</w:t>
            </w:r>
          </w:p>
        </w:tc>
        <w:tc>
          <w:tcPr>
            <w:tcW w:type="dxa" w:w="8300"/>
            <w:shd w:fill="E3EEF9" w:val="clear"/>
            <w:tcMar>
              <w:top w:type="dxa" w:w="80"/>
              <w:left w:type="dxa" w:w="160"/>
              <w:bottom w:type="dxa" w:w="80"/>
              <w:right w:type="dxa" w:w="80"/>
            </w:tcMar>
          </w:tcPr>
          <w:p>
            <w:pPr>
              <w:spacing w:after="40" w:before="0"/>
            </w:pPr>
            <w:r>
              <w:rPr>
                <w:rFonts w:ascii="Calibri" w:cs="Calibri" w:eastAsia="Calibri" w:hAnsi="Calibri"/>
                <w:b/>
                <w:bCs/>
                <w:color w:val="0D2B5C"/>
                <w:sz w:val="26"/>
                <w:szCs w:val="26"/>
              </w:rPr>
              <w:t xml:space="preserve">Branching Strategy</w:t>
            </w:r>
          </w:p>
          <w:p>
            <w:pPr>
              <w:spacing w:after="0" w:before="0"/>
            </w:pPr>
            <w:r>
              <w:rPr>
                <w:i/>
                <w:iCs/>
                <w:color w:val="006DA3"/>
                <w:sz w:val="18"/>
                <w:szCs w:val="18"/>
              </w:rPr>
              <w:t xml:space="preserve">Feature isolation, progressive verification, and release pipeline</w:t>
            </w:r>
          </w:p>
        </w:tc>
      </w:tr>
    </w:tbl>
    <w:p/>
    <w:p>
      <w:pPr>
        <w:pStyle w:val="Heading2"/>
        <w:spacing w:after="120" w:before="320"/>
      </w:pPr>
      <w:r>
        <w:t xml:space="preserve">13.1  Branch Isolation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2500"/>
        <w:gridCol w:w="4500"/>
        <w:gridCol w:w="1500"/>
      </w:tblGrid>
      <w:tr>
        <w:trPr>
          <w:tblHeader/>
        </w:trPr>
        <w:tc>
          <w:tcPr>
            <w:tcW w:type="dxa" w:w="2500"/>
            <w:shd w:fill="0D2B5C" w:val="clear"/>
            <w:tcMar>
              <w:top w:type="dxa" w:w="60"/>
              <w:left w:type="dxa" w:w="100"/>
              <w:bottom w:type="dxa" w:w="60"/>
              <w:right w:type="dxa" w:w="60"/>
            </w:tcMar>
          </w:tcPr>
          <w:p>
            <w:r>
              <w:rPr>
                <w:b/>
                <w:bCs/>
                <w:color w:val="FFFFFF"/>
                <w:sz w:val="18"/>
                <w:szCs w:val="18"/>
              </w:rPr>
              <w:t xml:space="preserve">Branch</w:t>
            </w:r>
          </w:p>
        </w:tc>
        <w:tc>
          <w:tcPr>
            <w:tcW w:type="dxa" w:w="4500"/>
            <w:shd w:fill="0D2B5C" w:val="clear"/>
            <w:tcMar>
              <w:top w:type="dxa" w:w="60"/>
              <w:left w:type="dxa" w:w="100"/>
              <w:bottom w:type="dxa" w:w="60"/>
              <w:right w:type="dxa" w:w="60"/>
            </w:tcMar>
          </w:tcPr>
          <w:p>
            <w:r>
              <w:rPr>
                <w:b/>
                <w:bCs/>
                <w:color w:val="FFFFFF"/>
                <w:sz w:val="18"/>
                <w:szCs w:val="18"/>
              </w:rPr>
              <w:t xml:space="preserve">Purpose</w:t>
            </w:r>
          </w:p>
        </w:tc>
        <w:tc>
          <w:tcPr>
            <w:tcW w:type="dxa" w:w="1500"/>
            <w:shd w:fill="0D2B5C" w:val="clear"/>
            <w:tcMar>
              <w:top w:type="dxa" w:w="60"/>
              <w:left w:type="dxa" w:w="100"/>
              <w:bottom w:type="dxa" w:w="60"/>
              <w:right w:type="dxa" w:w="60"/>
            </w:tcMar>
          </w:tcPr>
          <w:p>
            <w:r>
              <w:rPr>
                <w:b/>
                <w:bCs/>
                <w:color w:val="FFFFFF"/>
                <w:sz w:val="18"/>
                <w:szCs w:val="18"/>
              </w:rPr>
              <w:t xml:space="preserve">Lifetime</w:t>
            </w:r>
          </w:p>
        </w:tc>
      </w:tr>
      <w:tr>
        <w:tc>
          <w:tcPr>
            <w:tcW w:type="dxa" w:w="2500"/>
            <w:shd w:fill="FFFFFF" w:val="clear"/>
            <w:tcMar>
              <w:top w:type="dxa" w:w="60"/>
              <w:left w:type="dxa" w:w="100"/>
              <w:bottom w:type="dxa" w:w="60"/>
              <w:right w:type="dxa" w:w="60"/>
            </w:tcMar>
          </w:tcPr>
          <w:p>
            <w:r>
              <w:rPr>
                <w:color w:val="000000"/>
                <w:sz w:val="18"/>
                <w:szCs w:val="18"/>
              </w:rPr>
              <w:t xml:space="preserve">main</w:t>
            </w:r>
          </w:p>
        </w:tc>
        <w:tc>
          <w:tcPr>
            <w:tcW w:type="dxa" w:w="4500"/>
            <w:shd w:fill="FFFFFF" w:val="clear"/>
            <w:tcMar>
              <w:top w:type="dxa" w:w="60"/>
              <w:left w:type="dxa" w:w="100"/>
              <w:bottom w:type="dxa" w:w="60"/>
              <w:right w:type="dxa" w:w="60"/>
            </w:tcMar>
          </w:tcPr>
          <w:p>
            <w:r>
              <w:rPr>
                <w:color w:val="000000"/>
                <w:sz w:val="18"/>
                <w:szCs w:val="18"/>
              </w:rPr>
              <w:t xml:space="preserve">Production-stable code. No direct commits.</w:t>
            </w:r>
          </w:p>
        </w:tc>
        <w:tc>
          <w:tcPr>
            <w:tcW w:type="dxa" w:w="1500"/>
            <w:shd w:fill="FFFFFF" w:val="clear"/>
            <w:tcMar>
              <w:top w:type="dxa" w:w="60"/>
              <w:left w:type="dxa" w:w="100"/>
              <w:bottom w:type="dxa" w:w="60"/>
              <w:right w:type="dxa" w:w="60"/>
            </w:tcMar>
          </w:tcPr>
          <w:p>
            <w:r>
              <w:rPr>
                <w:color w:val="000000"/>
                <w:sz w:val="18"/>
                <w:szCs w:val="18"/>
              </w:rPr>
              <w:t xml:space="preserve">Permanent</w:t>
            </w:r>
          </w:p>
        </w:tc>
      </w:tr>
      <w:tr>
        <w:tc>
          <w:tcPr>
            <w:tcW w:type="dxa" w:w="2500"/>
            <w:shd w:fill="F5F5F5" w:val="clear"/>
            <w:tcMar>
              <w:top w:type="dxa" w:w="60"/>
              <w:left w:type="dxa" w:w="100"/>
              <w:bottom w:type="dxa" w:w="60"/>
              <w:right w:type="dxa" w:w="60"/>
            </w:tcMar>
          </w:tcPr>
          <w:p>
            <w:r>
              <w:rPr>
                <w:color w:val="000000"/>
                <w:sz w:val="18"/>
                <w:szCs w:val="18"/>
              </w:rPr>
              <w:t xml:space="preserve">dev</w:t>
            </w:r>
          </w:p>
        </w:tc>
        <w:tc>
          <w:tcPr>
            <w:tcW w:type="dxa" w:w="4500"/>
            <w:shd w:fill="F5F5F5" w:val="clear"/>
            <w:tcMar>
              <w:top w:type="dxa" w:w="60"/>
              <w:left w:type="dxa" w:w="100"/>
              <w:bottom w:type="dxa" w:w="60"/>
              <w:right w:type="dxa" w:w="60"/>
            </w:tcMar>
          </w:tcPr>
          <w:p>
            <w:r>
              <w:rPr>
                <w:color w:val="000000"/>
                <w:sz w:val="18"/>
                <w:szCs w:val="18"/>
              </w:rPr>
              <w:t xml:space="preserve">Integration branch. All feature branches merge here first.</w:t>
            </w:r>
          </w:p>
        </w:tc>
        <w:tc>
          <w:tcPr>
            <w:tcW w:type="dxa" w:w="1500"/>
            <w:shd w:fill="F5F5F5" w:val="clear"/>
            <w:tcMar>
              <w:top w:type="dxa" w:w="60"/>
              <w:left w:type="dxa" w:w="100"/>
              <w:bottom w:type="dxa" w:w="60"/>
              <w:right w:type="dxa" w:w="60"/>
            </w:tcMar>
          </w:tcPr>
          <w:p>
            <w:r>
              <w:rPr>
                <w:color w:val="000000"/>
                <w:sz w:val="18"/>
                <w:szCs w:val="18"/>
              </w:rPr>
              <w:t xml:space="preserve">Permanent</w:t>
            </w:r>
          </w:p>
        </w:tc>
      </w:tr>
      <w:tr>
        <w:tc>
          <w:tcPr>
            <w:tcW w:type="dxa" w:w="2500"/>
            <w:shd w:fill="FFFFFF" w:val="clear"/>
            <w:tcMar>
              <w:top w:type="dxa" w:w="60"/>
              <w:left w:type="dxa" w:w="100"/>
              <w:bottom w:type="dxa" w:w="60"/>
              <w:right w:type="dxa" w:w="60"/>
            </w:tcMar>
          </w:tcPr>
          <w:p>
            <w:r>
              <w:rPr>
                <w:color w:val="000000"/>
                <w:sz w:val="18"/>
                <w:szCs w:val="18"/>
              </w:rPr>
              <w:t xml:space="preserve">feature_hby_SSO_12JUN26</w:t>
            </w:r>
          </w:p>
        </w:tc>
        <w:tc>
          <w:tcPr>
            <w:tcW w:type="dxa" w:w="4500"/>
            <w:shd w:fill="FFFFFF" w:val="clear"/>
            <w:tcMar>
              <w:top w:type="dxa" w:w="60"/>
              <w:left w:type="dxa" w:w="100"/>
              <w:bottom w:type="dxa" w:w="60"/>
              <w:right w:type="dxa" w:w="60"/>
            </w:tcMar>
          </w:tcPr>
          <w:p>
            <w:r>
              <w:rPr>
                <w:color w:val="000000"/>
                <w:sz w:val="18"/>
                <w:szCs w:val="18"/>
              </w:rPr>
              <w:t xml:space="preserve">Complete SSO implementation isolation. Both UI and API changes.</w:t>
            </w:r>
          </w:p>
        </w:tc>
        <w:tc>
          <w:tcPr>
            <w:tcW w:type="dxa" w:w="1500"/>
            <w:shd w:fill="FFFFFF" w:val="clear"/>
            <w:tcMar>
              <w:top w:type="dxa" w:w="60"/>
              <w:left w:type="dxa" w:w="100"/>
              <w:bottom w:type="dxa" w:w="60"/>
              <w:right w:type="dxa" w:w="60"/>
            </w:tcMar>
          </w:tcPr>
          <w:p>
            <w:r>
              <w:rPr>
                <w:color w:val="000000"/>
                <w:sz w:val="18"/>
                <w:szCs w:val="18"/>
              </w:rPr>
              <w:t xml:space="preserve">Deleted post-merge</w:t>
            </w:r>
          </w:p>
        </w:tc>
      </w:tr>
      <w:tr>
        <w:tc>
          <w:tcPr>
            <w:tcW w:type="dxa" w:w="2500"/>
            <w:shd w:fill="F5F5F5" w:val="clear"/>
            <w:tcMar>
              <w:top w:type="dxa" w:w="60"/>
              <w:left w:type="dxa" w:w="100"/>
              <w:bottom w:type="dxa" w:w="60"/>
              <w:right w:type="dxa" w:w="60"/>
            </w:tcMar>
          </w:tcPr>
          <w:p>
            <w:r>
              <w:rPr>
                <w:color w:val="000000"/>
                <w:sz w:val="18"/>
                <w:szCs w:val="18"/>
              </w:rPr>
              <w:t xml:space="preserve">hotfix/*</w:t>
            </w:r>
          </w:p>
        </w:tc>
        <w:tc>
          <w:tcPr>
            <w:tcW w:type="dxa" w:w="4500"/>
            <w:shd w:fill="F5F5F5" w:val="clear"/>
            <w:tcMar>
              <w:top w:type="dxa" w:w="60"/>
              <w:left w:type="dxa" w:w="100"/>
              <w:bottom w:type="dxa" w:w="60"/>
              <w:right w:type="dxa" w:w="60"/>
            </w:tcMar>
          </w:tcPr>
          <w:p>
            <w:r>
              <w:rPr>
                <w:color w:val="000000"/>
                <w:sz w:val="18"/>
                <w:szCs w:val="18"/>
              </w:rPr>
              <w:t xml:space="preserve">Emergency production fixes.</w:t>
            </w:r>
          </w:p>
        </w:tc>
        <w:tc>
          <w:tcPr>
            <w:tcW w:type="dxa" w:w="1500"/>
            <w:shd w:fill="F5F5F5" w:val="clear"/>
            <w:tcMar>
              <w:top w:type="dxa" w:w="60"/>
              <w:left w:type="dxa" w:w="100"/>
              <w:bottom w:type="dxa" w:w="60"/>
              <w:right w:type="dxa" w:w="60"/>
            </w:tcMar>
          </w:tcPr>
          <w:p>
            <w:r>
              <w:rPr>
                <w:color w:val="000000"/>
                <w:sz w:val="18"/>
                <w:szCs w:val="18"/>
              </w:rPr>
              <w:t xml:space="preserve">Short-lived</w:t>
            </w:r>
          </w:p>
        </w:tc>
      </w:tr>
    </w:tbl>
    <w:p/>
    <w:p>
      <w:pPr>
        <w:pStyle w:val="Heading2"/>
        <w:spacing w:after="120" w:before="320"/>
      </w:pPr>
      <w:r>
        <w:t xml:space="preserve">13.2  Progressive Verification Path</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feature_hby_SSO_12JUN26</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Local verification (EnableSSO=false, cookie auth)</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Local SSO test (EnableSSO=true, localhost redirect URI)</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Push to DEV slot</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DEV smoke test (SSO flow, RBAC claims, API calls)</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PR review → merge to dev</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Deploy to UAT slot</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UAT regression tests + stakeholder sign-off</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Deploy to STAGING (Blue-Green)</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Staging warmup + automated tests</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Slot swap → PRODUCTION</w:t>
      </w:r>
    </w:p>
    <w:p>
      <w:pPr>
        <w:pBdr>
          <w:left w:val="single" w:color="0078D4" w:sz="12" w:space="4"/>
        </w:pBdr>
        <w:shd w:fill="F8F9FA" w:val="clear"/>
        <w:spacing w:after="20" w:before="20"/>
        <w:ind w:left="288"/>
      </w:pPr>
      <w:r>
        <w:rPr>
          <w:rFonts w:ascii="Courier New" w:cs="Courier New" w:eastAsia="Courier New" w:hAnsi="Courier New"/>
          <w:color w:val="1A1A1A"/>
          <w:sz w:val="18"/>
          <w:szCs w:val="18"/>
        </w:rPr>
        <w:t xml:space="preserve">    ↓  Post-swap monitoring (15 minutes)</w:t>
      </w:r>
    </w:p>
    <w:p>
      <w:r>
        <w:br w:type="page"/>
      </w:r>
    </w:p>
    <w:tbl>
      <w:tblPr>
        <w:tblW w:type="pct" w:w="100%"/>
        <w:tblBorders>
          <w:top w:val="none"/>
          <w:left w:val="none"/>
          <w:bottom w:val="none"/>
          <w:right w:val="none"/>
          <w:insideH w:val="single" w:color="auto" w:sz="4"/>
          <w:insideV w:val="single" w:color="auto" w:sz="4"/>
        </w:tblBorders>
      </w:tblPr>
      <w:tblGrid>
        <w:gridCol w:w="1200"/>
        <w:gridCol w:w="8300"/>
      </w:tblGrid>
      <w:tr>
        <w:tc>
          <w:tcPr>
            <w:tcW w:type="dxa" w:w="1200"/>
            <w:shd w:fill="0D2B5C" w:val="clear"/>
            <w:tcMar>
              <w:top w:type="dxa" w:w="100"/>
              <w:left w:type="dxa" w:w="120"/>
              <w:bottom w:type="dxa" w:w="100"/>
              <w:right w:type="dxa" w:w="60"/>
            </w:tcMar>
            <w:vAlign w:val="center"/>
          </w:tcPr>
          <w:p>
            <w:pPr>
              <w:jc w:val="center"/>
            </w:pPr>
            <w:r>
              <w:rPr>
                <w:rFonts w:ascii="Calibri" w:cs="Calibri" w:eastAsia="Calibri" w:hAnsi="Calibri"/>
                <w:b/>
                <w:bCs/>
                <w:color w:val="FFFFFF"/>
                <w:sz w:val="32"/>
                <w:szCs w:val="32"/>
              </w:rPr>
              <w:t xml:space="preserve">§A</w:t>
            </w:r>
          </w:p>
        </w:tc>
        <w:tc>
          <w:tcPr>
            <w:tcW w:type="dxa" w:w="8300"/>
            <w:shd w:fill="E3EEF9" w:val="clear"/>
            <w:tcMar>
              <w:top w:type="dxa" w:w="80"/>
              <w:left w:type="dxa" w:w="160"/>
              <w:bottom w:type="dxa" w:w="80"/>
              <w:right w:type="dxa" w:w="80"/>
            </w:tcMar>
          </w:tcPr>
          <w:p>
            <w:pPr>
              <w:spacing w:after="40" w:before="0"/>
            </w:pPr>
            <w:r>
              <w:rPr>
                <w:rFonts w:ascii="Calibri" w:cs="Calibri" w:eastAsia="Calibri" w:hAnsi="Calibri"/>
                <w:b/>
                <w:bCs/>
                <w:color w:val="0D2B5C"/>
                <w:sz w:val="26"/>
                <w:szCs w:val="26"/>
              </w:rPr>
              <w:t xml:space="preserve">Appendix</w:t>
            </w:r>
          </w:p>
          <w:p>
            <w:pPr>
              <w:spacing w:after="0" w:before="0"/>
            </w:pPr>
            <w:r>
              <w:rPr>
                <w:i/>
                <w:iCs/>
                <w:color w:val="006DA3"/>
                <w:sz w:val="18"/>
                <w:szCs w:val="18"/>
              </w:rPr>
              <w:t xml:space="preserve">Glossary, abbreviations, and quick reference</w:t>
            </w:r>
          </w:p>
        </w:tc>
      </w:tr>
    </w:tbl>
    <w:p/>
    <w:p>
      <w:pPr>
        <w:pStyle w:val="Heading2"/>
        <w:spacing w:after="120" w:before="320"/>
      </w:pPr>
      <w:r>
        <w:t xml:space="preserve">A.1  Glossary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2000"/>
        <w:gridCol w:w="7500"/>
      </w:tblGrid>
      <w:tr>
        <w:trPr>
          <w:tblHeader/>
        </w:trPr>
        <w:tc>
          <w:tcPr>
            <w:tcW w:type="dxa" w:w="2000"/>
            <w:shd w:fill="0D2B5C" w:val="clear"/>
            <w:tcMar>
              <w:top w:type="dxa" w:w="60"/>
              <w:left w:type="dxa" w:w="100"/>
              <w:bottom w:type="dxa" w:w="60"/>
              <w:right w:type="dxa" w:w="60"/>
            </w:tcMar>
          </w:tcPr>
          <w:p>
            <w:r>
              <w:rPr>
                <w:b/>
                <w:bCs/>
                <w:color w:val="FFFFFF"/>
                <w:sz w:val="18"/>
                <w:szCs w:val="18"/>
              </w:rPr>
              <w:t xml:space="preserve">Term</w:t>
            </w:r>
          </w:p>
        </w:tc>
        <w:tc>
          <w:tcPr>
            <w:tcW w:type="dxa" w:w="7500"/>
            <w:shd w:fill="0D2B5C" w:val="clear"/>
            <w:tcMar>
              <w:top w:type="dxa" w:w="60"/>
              <w:left w:type="dxa" w:w="100"/>
              <w:bottom w:type="dxa" w:w="60"/>
              <w:right w:type="dxa" w:w="60"/>
            </w:tcMar>
          </w:tcPr>
          <w:p>
            <w:r>
              <w:rPr>
                <w:b/>
                <w:bCs/>
                <w:color w:val="FFFFFF"/>
                <w:sz w:val="18"/>
                <w:szCs w:val="18"/>
              </w:rPr>
              <w:t xml:space="preserve">Definition</w:t>
            </w:r>
          </w:p>
        </w:tc>
      </w:tr>
      <w:tr>
        <w:tc>
          <w:tcPr>
            <w:tcW w:type="dxa" w:w="2000"/>
            <w:shd w:fill="FFFFFF" w:val="clear"/>
            <w:tcMar>
              <w:top w:type="dxa" w:w="60"/>
              <w:left w:type="dxa" w:w="100"/>
              <w:bottom w:type="dxa" w:w="60"/>
              <w:right w:type="dxa" w:w="60"/>
            </w:tcMar>
          </w:tcPr>
          <w:p>
            <w:r>
              <w:rPr>
                <w:color w:val="000000"/>
                <w:sz w:val="18"/>
                <w:szCs w:val="18"/>
              </w:rPr>
              <w:t xml:space="preserve">Entra ID</w:t>
            </w:r>
          </w:p>
        </w:tc>
        <w:tc>
          <w:tcPr>
            <w:tcW w:type="dxa" w:w="7500"/>
            <w:shd w:fill="FFFFFF" w:val="clear"/>
            <w:tcMar>
              <w:top w:type="dxa" w:w="60"/>
              <w:left w:type="dxa" w:w="100"/>
              <w:bottom w:type="dxa" w:w="60"/>
              <w:right w:type="dxa" w:w="60"/>
            </w:tcMar>
          </w:tcPr>
          <w:p>
            <w:r>
              <w:rPr>
                <w:color w:val="000000"/>
                <w:sz w:val="18"/>
                <w:szCs w:val="18"/>
              </w:rPr>
              <w:t xml:space="preserve">Microsoft's cloud identity platform (formerly Azure Active Directory). Manages users, groups, and application registrations.</w:t>
            </w:r>
          </w:p>
        </w:tc>
      </w:tr>
      <w:tr>
        <w:tc>
          <w:tcPr>
            <w:tcW w:type="dxa" w:w="2000"/>
            <w:shd w:fill="F5F5F5" w:val="clear"/>
            <w:tcMar>
              <w:top w:type="dxa" w:w="60"/>
              <w:left w:type="dxa" w:w="100"/>
              <w:bottom w:type="dxa" w:w="60"/>
              <w:right w:type="dxa" w:w="60"/>
            </w:tcMar>
          </w:tcPr>
          <w:p>
            <w:r>
              <w:rPr>
                <w:color w:val="000000"/>
                <w:sz w:val="18"/>
                <w:szCs w:val="18"/>
              </w:rPr>
              <w:t xml:space="preserve">OIDC</w:t>
            </w:r>
          </w:p>
        </w:tc>
        <w:tc>
          <w:tcPr>
            <w:tcW w:type="dxa" w:w="7500"/>
            <w:shd w:fill="F5F5F5" w:val="clear"/>
            <w:tcMar>
              <w:top w:type="dxa" w:w="60"/>
              <w:left w:type="dxa" w:w="100"/>
              <w:bottom w:type="dxa" w:w="60"/>
              <w:right w:type="dxa" w:w="60"/>
            </w:tcMar>
          </w:tcPr>
          <w:p>
            <w:r>
              <w:rPr>
                <w:color w:val="000000"/>
                <w:sz w:val="18"/>
                <w:szCs w:val="18"/>
              </w:rPr>
              <w:t xml:space="preserve">OpenID Connect — identity layer on top of OAuth 2.0. Used by IMP for authentication.</w:t>
            </w:r>
          </w:p>
        </w:tc>
      </w:tr>
      <w:tr>
        <w:tc>
          <w:tcPr>
            <w:tcW w:type="dxa" w:w="2000"/>
            <w:shd w:fill="FFFFFF" w:val="clear"/>
            <w:tcMar>
              <w:top w:type="dxa" w:w="60"/>
              <w:left w:type="dxa" w:w="100"/>
              <w:bottom w:type="dxa" w:w="60"/>
              <w:right w:type="dxa" w:w="60"/>
            </w:tcMar>
          </w:tcPr>
          <w:p>
            <w:r>
              <w:rPr>
                <w:color w:val="000000"/>
                <w:sz w:val="18"/>
                <w:szCs w:val="18"/>
              </w:rPr>
              <w:t xml:space="preserve">JWT</w:t>
            </w:r>
          </w:p>
        </w:tc>
        <w:tc>
          <w:tcPr>
            <w:tcW w:type="dxa" w:w="7500"/>
            <w:shd w:fill="FFFFFF" w:val="clear"/>
            <w:tcMar>
              <w:top w:type="dxa" w:w="60"/>
              <w:left w:type="dxa" w:w="100"/>
              <w:bottom w:type="dxa" w:w="60"/>
              <w:right w:type="dxa" w:w="60"/>
            </w:tcMar>
          </w:tcPr>
          <w:p>
            <w:r>
              <w:rPr>
                <w:color w:val="000000"/>
                <w:sz w:val="18"/>
                <w:szCs w:val="18"/>
              </w:rPr>
              <w:t xml:space="preserve">JSON Web Token — compact, signed token format used for API authentication (Bearer tokens).</w:t>
            </w:r>
          </w:p>
        </w:tc>
      </w:tr>
      <w:tr>
        <w:tc>
          <w:tcPr>
            <w:tcW w:type="dxa" w:w="2000"/>
            <w:shd w:fill="F5F5F5" w:val="clear"/>
            <w:tcMar>
              <w:top w:type="dxa" w:w="60"/>
              <w:left w:type="dxa" w:w="100"/>
              <w:bottom w:type="dxa" w:w="60"/>
              <w:right w:type="dxa" w:w="60"/>
            </w:tcMar>
          </w:tcPr>
          <w:p>
            <w:r>
              <w:rPr>
                <w:color w:val="000000"/>
                <w:sz w:val="18"/>
                <w:szCs w:val="18"/>
              </w:rPr>
              <w:t xml:space="preserve">MSAL</w:t>
            </w:r>
          </w:p>
        </w:tc>
        <w:tc>
          <w:tcPr>
            <w:tcW w:type="dxa" w:w="7500"/>
            <w:shd w:fill="F5F5F5" w:val="clear"/>
            <w:tcMar>
              <w:top w:type="dxa" w:w="60"/>
              <w:left w:type="dxa" w:w="100"/>
              <w:bottom w:type="dxa" w:w="60"/>
              <w:right w:type="dxa" w:w="60"/>
            </w:tcMar>
          </w:tcPr>
          <w:p>
            <w:r>
              <w:rPr>
                <w:color w:val="000000"/>
                <w:sz w:val="18"/>
                <w:szCs w:val="18"/>
              </w:rPr>
              <w:t xml:space="preserve">Microsoft Authentication Library — handles token acquisition, caching, and silent renewal.</w:t>
            </w:r>
          </w:p>
        </w:tc>
      </w:tr>
      <w:tr>
        <w:tc>
          <w:tcPr>
            <w:tcW w:type="dxa" w:w="2000"/>
            <w:shd w:fill="FFFFFF" w:val="clear"/>
            <w:tcMar>
              <w:top w:type="dxa" w:w="60"/>
              <w:left w:type="dxa" w:w="100"/>
              <w:bottom w:type="dxa" w:w="60"/>
              <w:right w:type="dxa" w:w="60"/>
            </w:tcMar>
          </w:tcPr>
          <w:p>
            <w:r>
              <w:rPr>
                <w:color w:val="000000"/>
                <w:sz w:val="18"/>
                <w:szCs w:val="18"/>
              </w:rPr>
              <w:t xml:space="preserve">OID</w:t>
            </w:r>
          </w:p>
        </w:tc>
        <w:tc>
          <w:tcPr>
            <w:tcW w:type="dxa" w:w="7500"/>
            <w:shd w:fill="FFFFFF" w:val="clear"/>
            <w:tcMar>
              <w:top w:type="dxa" w:w="60"/>
              <w:left w:type="dxa" w:w="100"/>
              <w:bottom w:type="dxa" w:w="60"/>
              <w:right w:type="dxa" w:w="60"/>
            </w:tcMar>
          </w:tcPr>
          <w:p>
            <w:r>
              <w:rPr>
                <w:color w:val="000000"/>
                <w:sz w:val="18"/>
                <w:szCs w:val="18"/>
              </w:rPr>
              <w:t xml:space="preserve">Object Identifier — the immutable, unique identifier for a user in Entra ID (claim name: oid).</w:t>
            </w:r>
          </w:p>
        </w:tc>
      </w:tr>
      <w:tr>
        <w:tc>
          <w:tcPr>
            <w:tcW w:type="dxa" w:w="2000"/>
            <w:shd w:fill="F5F5F5" w:val="clear"/>
            <w:tcMar>
              <w:top w:type="dxa" w:w="60"/>
              <w:left w:type="dxa" w:w="100"/>
              <w:bottom w:type="dxa" w:w="60"/>
              <w:right w:type="dxa" w:w="60"/>
            </w:tcMar>
          </w:tcPr>
          <w:p>
            <w:r>
              <w:rPr>
                <w:color w:val="000000"/>
                <w:sz w:val="18"/>
                <w:szCs w:val="18"/>
              </w:rPr>
              <w:t xml:space="preserve">JIT Provisioning</w:t>
            </w:r>
          </w:p>
        </w:tc>
        <w:tc>
          <w:tcPr>
            <w:tcW w:type="dxa" w:w="7500"/>
            <w:shd w:fill="F5F5F5" w:val="clear"/>
            <w:tcMar>
              <w:top w:type="dxa" w:w="60"/>
              <w:left w:type="dxa" w:w="100"/>
              <w:bottom w:type="dxa" w:w="60"/>
              <w:right w:type="dxa" w:w="60"/>
            </w:tcMar>
          </w:tcPr>
          <w:p>
            <w:r>
              <w:rPr>
                <w:color w:val="000000"/>
                <w:sz w:val="18"/>
                <w:szCs w:val="18"/>
              </w:rPr>
              <w:t xml:space="preserve">Just-In-Time provisioning — creating a user DB record automatically on their first login.</w:t>
            </w:r>
          </w:p>
        </w:tc>
      </w:tr>
      <w:tr>
        <w:tc>
          <w:tcPr>
            <w:tcW w:type="dxa" w:w="2000"/>
            <w:shd w:fill="FFFFFF" w:val="clear"/>
            <w:tcMar>
              <w:top w:type="dxa" w:w="60"/>
              <w:left w:type="dxa" w:w="100"/>
              <w:bottom w:type="dxa" w:w="60"/>
              <w:right w:type="dxa" w:w="60"/>
            </w:tcMar>
          </w:tcPr>
          <w:p>
            <w:r>
              <w:rPr>
                <w:color w:val="000000"/>
                <w:sz w:val="18"/>
                <w:szCs w:val="18"/>
              </w:rPr>
              <w:t xml:space="preserve">RBAC</w:t>
            </w:r>
          </w:p>
        </w:tc>
        <w:tc>
          <w:tcPr>
            <w:tcW w:type="dxa" w:w="7500"/>
            <w:shd w:fill="FFFFFF" w:val="clear"/>
            <w:tcMar>
              <w:top w:type="dxa" w:w="60"/>
              <w:left w:type="dxa" w:w="100"/>
              <w:bottom w:type="dxa" w:w="60"/>
              <w:right w:type="dxa" w:w="60"/>
            </w:tcMar>
          </w:tcPr>
          <w:p>
            <w:r>
              <w:rPr>
                <w:color w:val="000000"/>
                <w:sz w:val="18"/>
                <w:szCs w:val="18"/>
              </w:rPr>
              <w:t xml:space="preserve">Role-Based Access Control — permissions granted based on the user's assigned role.</w:t>
            </w:r>
          </w:p>
        </w:tc>
      </w:tr>
      <w:tr>
        <w:tc>
          <w:tcPr>
            <w:tcW w:type="dxa" w:w="2000"/>
            <w:shd w:fill="F5F5F5" w:val="clear"/>
            <w:tcMar>
              <w:top w:type="dxa" w:w="60"/>
              <w:left w:type="dxa" w:w="100"/>
              <w:bottom w:type="dxa" w:w="60"/>
              <w:right w:type="dxa" w:w="60"/>
            </w:tcMar>
          </w:tcPr>
          <w:p>
            <w:r>
              <w:rPr>
                <w:color w:val="000000"/>
                <w:sz w:val="18"/>
                <w:szCs w:val="18"/>
              </w:rPr>
              <w:t xml:space="preserve">Blue-Green</w:t>
            </w:r>
          </w:p>
        </w:tc>
        <w:tc>
          <w:tcPr>
            <w:tcW w:type="dxa" w:w="7500"/>
            <w:shd w:fill="F5F5F5" w:val="clear"/>
            <w:tcMar>
              <w:top w:type="dxa" w:w="60"/>
              <w:left w:type="dxa" w:w="100"/>
              <w:bottom w:type="dxa" w:w="60"/>
              <w:right w:type="dxa" w:w="60"/>
            </w:tcMar>
          </w:tcPr>
          <w:p>
            <w:r>
              <w:rPr>
                <w:color w:val="000000"/>
                <w:sz w:val="18"/>
                <w:szCs w:val="18"/>
              </w:rPr>
              <w:t xml:space="preserve">Deployment strategy using two identical slots; traffic is switched atomically with zero downtime.</w:t>
            </w:r>
          </w:p>
        </w:tc>
      </w:tr>
      <w:tr>
        <w:tc>
          <w:tcPr>
            <w:tcW w:type="dxa" w:w="2000"/>
            <w:shd w:fill="FFFFFF" w:val="clear"/>
            <w:tcMar>
              <w:top w:type="dxa" w:w="60"/>
              <w:left w:type="dxa" w:w="100"/>
              <w:bottom w:type="dxa" w:w="60"/>
              <w:right w:type="dxa" w:w="60"/>
            </w:tcMar>
          </w:tcPr>
          <w:p>
            <w:r>
              <w:rPr>
                <w:color w:val="000000"/>
                <w:sz w:val="18"/>
                <w:szCs w:val="18"/>
              </w:rPr>
              <w:t xml:space="preserve">Sticky Setting</w:t>
            </w:r>
          </w:p>
        </w:tc>
        <w:tc>
          <w:tcPr>
            <w:tcW w:type="dxa" w:w="7500"/>
            <w:shd w:fill="FFFFFF" w:val="clear"/>
            <w:tcMar>
              <w:top w:type="dxa" w:w="60"/>
              <w:left w:type="dxa" w:w="100"/>
              <w:bottom w:type="dxa" w:w="60"/>
              <w:right w:type="dxa" w:w="60"/>
            </w:tcMar>
          </w:tcPr>
          <w:p>
            <w:r>
              <w:rPr>
                <w:color w:val="000000"/>
                <w:sz w:val="18"/>
                <w:szCs w:val="18"/>
              </w:rPr>
              <w:t xml:space="preserve">Azure App Service configuration value that remains bound to a deployment slot and does not swap with the code.</w:t>
            </w:r>
          </w:p>
        </w:tc>
      </w:tr>
      <w:tr>
        <w:tc>
          <w:tcPr>
            <w:tcW w:type="dxa" w:w="2000"/>
            <w:shd w:fill="F5F5F5" w:val="clear"/>
            <w:tcMar>
              <w:top w:type="dxa" w:w="60"/>
              <w:left w:type="dxa" w:w="100"/>
              <w:bottom w:type="dxa" w:w="60"/>
              <w:right w:type="dxa" w:w="60"/>
            </w:tcMar>
          </w:tcPr>
          <w:p>
            <w:r>
              <w:rPr>
                <w:color w:val="000000"/>
                <w:sz w:val="18"/>
                <w:szCs w:val="18"/>
              </w:rPr>
              <w:t xml:space="preserve">Self-Healing Sync</w:t>
            </w:r>
          </w:p>
        </w:tc>
        <w:tc>
          <w:tcPr>
            <w:tcW w:type="dxa" w:w="7500"/>
            <w:shd w:fill="F5F5F5" w:val="clear"/>
            <w:tcMar>
              <w:top w:type="dxa" w:w="60"/>
              <w:left w:type="dxa" w:w="100"/>
              <w:bottom w:type="dxa" w:w="60"/>
              <w:right w:type="dxa" w:w="60"/>
            </w:tcMar>
          </w:tcPr>
          <w:p>
            <w:r>
              <w:rPr>
                <w:color w:val="000000"/>
                <w:sz w:val="18"/>
                <w:szCs w:val="18"/>
              </w:rPr>
              <w:t xml:space="preserve">Automatic detection and correction of stale/default role assignments by comparing DB state to live Entra group membership.</w:t>
            </w:r>
          </w:p>
        </w:tc>
      </w:tr>
      <w:tr>
        <w:tc>
          <w:tcPr>
            <w:tcW w:type="dxa" w:w="2000"/>
            <w:shd w:fill="FFFFFF" w:val="clear"/>
            <w:tcMar>
              <w:top w:type="dxa" w:w="60"/>
              <w:left w:type="dxa" w:w="100"/>
              <w:bottom w:type="dxa" w:w="60"/>
              <w:right w:type="dxa" w:w="60"/>
            </w:tcMar>
          </w:tcPr>
          <w:p>
            <w:r>
              <w:rPr>
                <w:color w:val="000000"/>
                <w:sz w:val="18"/>
                <w:szCs w:val="18"/>
              </w:rPr>
              <w:t xml:space="preserve">Managed Identity</w:t>
            </w:r>
          </w:p>
        </w:tc>
        <w:tc>
          <w:tcPr>
            <w:tcW w:type="dxa" w:w="7500"/>
            <w:shd w:fill="FFFFFF" w:val="clear"/>
            <w:tcMar>
              <w:top w:type="dxa" w:w="60"/>
              <w:left w:type="dxa" w:w="100"/>
              <w:bottom w:type="dxa" w:w="60"/>
              <w:right w:type="dxa" w:w="60"/>
            </w:tcMar>
          </w:tcPr>
          <w:p>
            <w:r>
              <w:rPr>
                <w:color w:val="000000"/>
                <w:sz w:val="18"/>
                <w:szCs w:val="18"/>
              </w:rPr>
              <w:t xml:space="preserve">Azure service that provides an automatically managed identity for App Services, eliminating the need for stored credentials.</w:t>
            </w:r>
          </w:p>
        </w:tc>
      </w:tr>
      <w:tr>
        <w:tc>
          <w:tcPr>
            <w:tcW w:type="dxa" w:w="2000"/>
            <w:shd w:fill="F5F5F5" w:val="clear"/>
            <w:tcMar>
              <w:top w:type="dxa" w:w="60"/>
              <w:left w:type="dxa" w:w="100"/>
              <w:bottom w:type="dxa" w:w="60"/>
              <w:right w:type="dxa" w:w="60"/>
            </w:tcMar>
          </w:tcPr>
          <w:p>
            <w:r>
              <w:rPr>
                <w:color w:val="000000"/>
                <w:sz w:val="18"/>
                <w:szCs w:val="18"/>
              </w:rPr>
              <w:t xml:space="preserve">Fallback Profile</w:t>
            </w:r>
          </w:p>
        </w:tc>
        <w:tc>
          <w:tcPr>
            <w:tcW w:type="dxa" w:w="7500"/>
            <w:shd w:fill="F5F5F5" w:val="clear"/>
            <w:tcMar>
              <w:top w:type="dxa" w:w="60"/>
              <w:left w:type="dxa" w:w="100"/>
              <w:bottom w:type="dxa" w:w="60"/>
              <w:right w:type="dxa" w:w="60"/>
            </w:tcMar>
          </w:tcPr>
          <w:p>
            <w:r>
              <w:rPr>
                <w:color w:val="000000"/>
                <w:sz w:val="18"/>
                <w:szCs w:val="18"/>
              </w:rPr>
              <w:t xml:space="preserve">A user profile returned by the API with only the REQUESTER role when JIT provisioning has just run and elevated roles are not yet in the DB.</w:t>
            </w:r>
          </w:p>
        </w:tc>
      </w:tr>
    </w:tbl>
    <w:p/>
    <w:p>
      <w:pPr>
        <w:pStyle w:val="Heading2"/>
        <w:spacing w:after="120" w:before="320"/>
      </w:pPr>
      <w:r>
        <w:t xml:space="preserve">A.2  Key File Index</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3000"/>
        <w:gridCol w:w="2200"/>
        <w:gridCol w:w="4300"/>
      </w:tblGrid>
      <w:tr>
        <w:trPr>
          <w:tblHeader/>
        </w:trPr>
        <w:tc>
          <w:tcPr>
            <w:tcW w:type="dxa" w:w="3000"/>
            <w:shd w:fill="0D2B5C" w:val="clear"/>
            <w:tcMar>
              <w:top w:type="dxa" w:w="60"/>
              <w:left w:type="dxa" w:w="100"/>
              <w:bottom w:type="dxa" w:w="60"/>
              <w:right w:type="dxa" w:w="60"/>
            </w:tcMar>
          </w:tcPr>
          <w:p>
            <w:r>
              <w:rPr>
                <w:b/>
                <w:bCs/>
                <w:color w:val="FFFFFF"/>
                <w:sz w:val="18"/>
                <w:szCs w:val="18"/>
              </w:rPr>
              <w:t xml:space="preserve">File</w:t>
            </w:r>
          </w:p>
        </w:tc>
        <w:tc>
          <w:tcPr>
            <w:tcW w:type="dxa" w:w="2200"/>
            <w:shd w:fill="0D2B5C" w:val="clear"/>
            <w:tcMar>
              <w:top w:type="dxa" w:w="60"/>
              <w:left w:type="dxa" w:w="100"/>
              <w:bottom w:type="dxa" w:w="60"/>
              <w:right w:type="dxa" w:w="60"/>
            </w:tcMar>
          </w:tcPr>
          <w:p>
            <w:r>
              <w:rPr>
                <w:b/>
                <w:bCs/>
                <w:color w:val="FFFFFF"/>
                <w:sz w:val="18"/>
                <w:szCs w:val="18"/>
              </w:rPr>
              <w:t xml:space="preserve">Project</w:t>
            </w:r>
          </w:p>
        </w:tc>
        <w:tc>
          <w:tcPr>
            <w:tcW w:type="dxa" w:w="4300"/>
            <w:shd w:fill="0D2B5C" w:val="clear"/>
            <w:tcMar>
              <w:top w:type="dxa" w:w="60"/>
              <w:left w:type="dxa" w:w="100"/>
              <w:bottom w:type="dxa" w:w="60"/>
              <w:right w:type="dxa" w:w="60"/>
            </w:tcMar>
          </w:tcPr>
          <w:p>
            <w:r>
              <w:rPr>
                <w:b/>
                <w:bCs/>
                <w:color w:val="FFFFFF"/>
                <w:sz w:val="18"/>
                <w:szCs w:val="18"/>
              </w:rPr>
              <w:t xml:space="preserve">Purpose</w:t>
            </w:r>
          </w:p>
        </w:tc>
      </w:tr>
      <w:tr>
        <w:tc>
          <w:tcPr>
            <w:tcW w:type="dxa" w:w="3000"/>
            <w:shd w:fill="FFFFFF" w:val="clear"/>
            <w:tcMar>
              <w:top w:type="dxa" w:w="60"/>
              <w:left w:type="dxa" w:w="100"/>
              <w:bottom w:type="dxa" w:w="60"/>
              <w:right w:type="dxa" w:w="60"/>
            </w:tcMar>
          </w:tcPr>
          <w:p>
            <w:r>
              <w:rPr>
                <w:color w:val="000000"/>
                <w:sz w:val="18"/>
                <w:szCs w:val="18"/>
              </w:rPr>
              <w:t xml:space="preserve">AuthenticationServiceExtensions.cs</w:t>
            </w:r>
          </w:p>
        </w:tc>
        <w:tc>
          <w:tcPr>
            <w:tcW w:type="dxa" w:w="2200"/>
            <w:shd w:fill="FFFFFF" w:val="clear"/>
            <w:tcMar>
              <w:top w:type="dxa" w:w="60"/>
              <w:left w:type="dxa" w:w="100"/>
              <w:bottom w:type="dxa" w:w="60"/>
              <w:right w:type="dxa" w:w="60"/>
            </w:tcMar>
          </w:tcPr>
          <w:p>
            <w:r>
              <w:rPr>
                <w:color w:val="000000"/>
                <w:sz w:val="18"/>
                <w:szCs w:val="18"/>
              </w:rPr>
              <w:t xml:space="preserve">UI (InterventionsManagementUI)</w:t>
            </w:r>
          </w:p>
        </w:tc>
        <w:tc>
          <w:tcPr>
            <w:tcW w:type="dxa" w:w="4300"/>
            <w:shd w:fill="FFFFFF" w:val="clear"/>
            <w:tcMar>
              <w:top w:type="dxa" w:w="60"/>
              <w:left w:type="dxa" w:w="100"/>
              <w:bottom w:type="dxa" w:w="60"/>
              <w:right w:type="dxa" w:w="60"/>
            </w:tcMar>
          </w:tcPr>
          <w:p>
            <w:r>
              <w:rPr>
                <w:color w:val="000000"/>
                <w:sz w:val="18"/>
                <w:szCs w:val="18"/>
              </w:rPr>
              <w:t xml:space="preserve">Dual-auth pipeline registration + Graph group fetch on OIDC token validation</w:t>
            </w:r>
          </w:p>
        </w:tc>
      </w:tr>
      <w:tr>
        <w:tc>
          <w:tcPr>
            <w:tcW w:type="dxa" w:w="3000"/>
            <w:shd w:fill="F5F5F5" w:val="clear"/>
            <w:tcMar>
              <w:top w:type="dxa" w:w="60"/>
              <w:left w:type="dxa" w:w="100"/>
              <w:bottom w:type="dxa" w:w="60"/>
              <w:right w:type="dxa" w:w="60"/>
            </w:tcMar>
          </w:tcPr>
          <w:p>
            <w:r>
              <w:rPr>
                <w:color w:val="000000"/>
                <w:sz w:val="18"/>
                <w:szCs w:val="18"/>
              </w:rPr>
              <w:t xml:space="preserve">AuthTokenHandler.cs</w:t>
            </w:r>
          </w:p>
        </w:tc>
        <w:tc>
          <w:tcPr>
            <w:tcW w:type="dxa" w:w="2200"/>
            <w:shd w:fill="F5F5F5" w:val="clear"/>
            <w:tcMar>
              <w:top w:type="dxa" w:w="60"/>
              <w:left w:type="dxa" w:w="100"/>
              <w:bottom w:type="dxa" w:w="60"/>
              <w:right w:type="dxa" w:w="60"/>
            </w:tcMar>
          </w:tcPr>
          <w:p>
            <w:r>
              <w:rPr>
                <w:color w:val="000000"/>
                <w:sz w:val="18"/>
                <w:szCs w:val="18"/>
              </w:rPr>
              <w:t xml:space="preserve">UI (Infrastructure)</w:t>
            </w:r>
          </w:p>
        </w:tc>
        <w:tc>
          <w:tcPr>
            <w:tcW w:type="dxa" w:w="4300"/>
            <w:shd w:fill="F5F5F5" w:val="clear"/>
            <w:tcMar>
              <w:top w:type="dxa" w:w="60"/>
              <w:left w:type="dxa" w:w="100"/>
              <w:bottom w:type="dxa" w:w="60"/>
              <w:right w:type="dxa" w:w="60"/>
            </w:tcMar>
          </w:tcPr>
          <w:p>
            <w:r>
              <w:rPr>
                <w:color w:val="000000"/>
                <w:sz w:val="18"/>
                <w:szCs w:val="18"/>
              </w:rPr>
              <w:t xml:space="preserve">DelegatingHandler: injects Bearer token + X-Entra-App-Roles header</w:t>
            </w:r>
          </w:p>
        </w:tc>
      </w:tr>
      <w:tr>
        <w:tc>
          <w:tcPr>
            <w:tcW w:type="dxa" w:w="3000"/>
            <w:shd w:fill="FFFFFF" w:val="clear"/>
            <w:tcMar>
              <w:top w:type="dxa" w:w="60"/>
              <w:left w:type="dxa" w:w="100"/>
              <w:bottom w:type="dxa" w:w="60"/>
              <w:right w:type="dxa" w:w="60"/>
            </w:tcMar>
          </w:tcPr>
          <w:p>
            <w:r>
              <w:rPr>
                <w:color w:val="000000"/>
                <w:sz w:val="18"/>
                <w:szCs w:val="18"/>
              </w:rPr>
              <w:t xml:space="preserve">UiRbacClaimsTransformer.cs</w:t>
            </w:r>
          </w:p>
        </w:tc>
        <w:tc>
          <w:tcPr>
            <w:tcW w:type="dxa" w:w="2200"/>
            <w:shd w:fill="FFFFFF" w:val="clear"/>
            <w:tcMar>
              <w:top w:type="dxa" w:w="60"/>
              <w:left w:type="dxa" w:w="100"/>
              <w:bottom w:type="dxa" w:w="60"/>
              <w:right w:type="dxa" w:w="60"/>
            </w:tcMar>
          </w:tcPr>
          <w:p>
            <w:r>
              <w:rPr>
                <w:color w:val="000000"/>
                <w:sz w:val="18"/>
                <w:szCs w:val="18"/>
              </w:rPr>
              <w:t xml:space="preserve">UI (AppFrontend)</w:t>
            </w:r>
          </w:p>
        </w:tc>
        <w:tc>
          <w:tcPr>
            <w:tcW w:type="dxa" w:w="4300"/>
            <w:shd w:fill="FFFFFF" w:val="clear"/>
            <w:tcMar>
              <w:top w:type="dxa" w:w="60"/>
              <w:left w:type="dxa" w:w="100"/>
              <w:bottom w:type="dxa" w:w="60"/>
              <w:right w:type="dxa" w:w="60"/>
            </w:tcMar>
          </w:tcPr>
          <w:p>
            <w:r>
              <w:rPr>
                <w:color w:val="000000"/>
                <w:sz w:val="18"/>
                <w:szCs w:val="18"/>
              </w:rPr>
              <w:t xml:space="preserve">IClaimsTransformation: calls /api/me, builds ClaimsPrincipal with DB RBAC</w:t>
            </w:r>
          </w:p>
        </w:tc>
      </w:tr>
      <w:tr>
        <w:tc>
          <w:tcPr>
            <w:tcW w:type="dxa" w:w="3000"/>
            <w:shd w:fill="F5F5F5" w:val="clear"/>
            <w:tcMar>
              <w:top w:type="dxa" w:w="60"/>
              <w:left w:type="dxa" w:w="100"/>
              <w:bottom w:type="dxa" w:w="60"/>
              <w:right w:type="dxa" w:w="60"/>
            </w:tcMar>
          </w:tcPr>
          <w:p>
            <w:r>
              <w:rPr>
                <w:color w:val="000000"/>
                <w:sz w:val="18"/>
                <w:szCs w:val="18"/>
              </w:rPr>
              <w:t xml:space="preserve">EntraIdRbacClaimsTransformer.cs</w:t>
            </w:r>
          </w:p>
        </w:tc>
        <w:tc>
          <w:tcPr>
            <w:tcW w:type="dxa" w:w="2200"/>
            <w:shd w:fill="F5F5F5" w:val="clear"/>
            <w:tcMar>
              <w:top w:type="dxa" w:w="60"/>
              <w:left w:type="dxa" w:w="100"/>
              <w:bottom w:type="dxa" w:w="60"/>
              <w:right w:type="dxa" w:w="60"/>
            </w:tcMar>
          </w:tcPr>
          <w:p>
            <w:r>
              <w:rPr>
                <w:color w:val="000000"/>
                <w:sz w:val="18"/>
                <w:szCs w:val="18"/>
              </w:rPr>
              <w:t xml:space="preserve">API (Infrastructure.Security)</w:t>
            </w:r>
          </w:p>
        </w:tc>
        <w:tc>
          <w:tcPr>
            <w:tcW w:type="dxa" w:w="4300"/>
            <w:shd w:fill="F5F5F5" w:val="clear"/>
            <w:tcMar>
              <w:top w:type="dxa" w:w="60"/>
              <w:left w:type="dxa" w:w="100"/>
              <w:bottom w:type="dxa" w:w="60"/>
              <w:right w:type="dxa" w:w="60"/>
            </w:tcMar>
          </w:tcPr>
          <w:p>
            <w:r>
              <w:rPr>
                <w:color w:val="000000"/>
                <w:sz w:val="18"/>
                <w:szCs w:val="18"/>
              </w:rPr>
              <w:t xml:space="preserve">IClaimsTransformation: JIT provisioning + self-healing sync + claims injection</w:t>
            </w:r>
          </w:p>
        </w:tc>
      </w:tr>
      <w:tr>
        <w:tc>
          <w:tcPr>
            <w:tcW w:type="dxa" w:w="3000"/>
            <w:shd w:fill="FFFFFF" w:val="clear"/>
            <w:tcMar>
              <w:top w:type="dxa" w:w="60"/>
              <w:left w:type="dxa" w:w="100"/>
              <w:bottom w:type="dxa" w:w="60"/>
              <w:right w:type="dxa" w:w="60"/>
            </w:tcMar>
          </w:tcPr>
          <w:p>
            <w:r>
              <w:rPr>
                <w:color w:val="000000"/>
                <w:sz w:val="18"/>
                <w:szCs w:val="18"/>
              </w:rPr>
              <w:t xml:space="preserve">AccountRepository.cs</w:t>
            </w:r>
          </w:p>
        </w:tc>
        <w:tc>
          <w:tcPr>
            <w:tcW w:type="dxa" w:w="2200"/>
            <w:shd w:fill="FFFFFF" w:val="clear"/>
            <w:tcMar>
              <w:top w:type="dxa" w:w="60"/>
              <w:left w:type="dxa" w:w="100"/>
              <w:bottom w:type="dxa" w:w="60"/>
              <w:right w:type="dxa" w:w="60"/>
            </w:tcMar>
          </w:tcPr>
          <w:p>
            <w:r>
              <w:rPr>
                <w:color w:val="000000"/>
                <w:sz w:val="18"/>
                <w:szCs w:val="18"/>
              </w:rPr>
              <w:t xml:space="preserve">API (Infrastructure.Repositories)</w:t>
            </w:r>
          </w:p>
        </w:tc>
        <w:tc>
          <w:tcPr>
            <w:tcW w:type="dxa" w:w="4300"/>
            <w:shd w:fill="FFFFFF" w:val="clear"/>
            <w:tcMar>
              <w:top w:type="dxa" w:w="60"/>
              <w:left w:type="dxa" w:w="100"/>
              <w:bottom w:type="dxa" w:w="60"/>
              <w:right w:type="dxa" w:w="60"/>
            </w:tcMar>
          </w:tcPr>
          <w:p>
            <w:r>
              <w:rPr>
                <w:color w:val="000000"/>
                <w:sz w:val="18"/>
                <w:szCs w:val="18"/>
              </w:rPr>
              <w:t xml:space="preserve">Dapper CRUD for UM_Users and UM_UserRoles</w:t>
            </w:r>
          </w:p>
        </w:tc>
      </w:tr>
      <w:tr>
        <w:tc>
          <w:tcPr>
            <w:tcW w:type="dxa" w:w="3000"/>
            <w:shd w:fill="F5F5F5" w:val="clear"/>
            <w:tcMar>
              <w:top w:type="dxa" w:w="60"/>
              <w:left w:type="dxa" w:w="100"/>
              <w:bottom w:type="dxa" w:w="60"/>
              <w:right w:type="dxa" w:w="60"/>
            </w:tcMar>
          </w:tcPr>
          <w:p>
            <w:r>
              <w:rPr>
                <w:color w:val="000000"/>
                <w:sz w:val="18"/>
                <w:szCs w:val="18"/>
              </w:rPr>
              <w:t xml:space="preserve">Program.cs (UI)</w:t>
            </w:r>
          </w:p>
        </w:tc>
        <w:tc>
          <w:tcPr>
            <w:tcW w:type="dxa" w:w="2200"/>
            <w:shd w:fill="F5F5F5" w:val="clear"/>
            <w:tcMar>
              <w:top w:type="dxa" w:w="60"/>
              <w:left w:type="dxa" w:w="100"/>
              <w:bottom w:type="dxa" w:w="60"/>
              <w:right w:type="dxa" w:w="60"/>
            </w:tcMar>
          </w:tcPr>
          <w:p>
            <w:r>
              <w:rPr>
                <w:color w:val="000000"/>
                <w:sz w:val="18"/>
                <w:szCs w:val="18"/>
              </w:rPr>
              <w:t xml:space="preserve">UI</w:t>
            </w:r>
          </w:p>
        </w:tc>
        <w:tc>
          <w:tcPr>
            <w:tcW w:type="dxa" w:w="4300"/>
            <w:shd w:fill="F5F5F5" w:val="clear"/>
            <w:tcMar>
              <w:top w:type="dxa" w:w="60"/>
              <w:left w:type="dxa" w:w="100"/>
              <w:bottom w:type="dxa" w:w="60"/>
              <w:right w:type="dxa" w:w="60"/>
            </w:tcMar>
          </w:tcPr>
          <w:p>
            <w:r>
              <w:rPr>
                <w:color w:val="000000"/>
                <w:sz w:val="18"/>
                <w:szCs w:val="18"/>
              </w:rPr>
              <w:t xml:space="preserve">Registers dual-auth, IMemoryCache, HttpClients, Key Vault</w:t>
            </w:r>
          </w:p>
        </w:tc>
      </w:tr>
      <w:tr>
        <w:tc>
          <w:tcPr>
            <w:tcW w:type="dxa" w:w="3000"/>
            <w:shd w:fill="FFFFFF" w:val="clear"/>
            <w:tcMar>
              <w:top w:type="dxa" w:w="60"/>
              <w:left w:type="dxa" w:w="100"/>
              <w:bottom w:type="dxa" w:w="60"/>
              <w:right w:type="dxa" w:w="60"/>
            </w:tcMar>
          </w:tcPr>
          <w:p>
            <w:r>
              <w:rPr>
                <w:color w:val="000000"/>
                <w:sz w:val="18"/>
                <w:szCs w:val="18"/>
              </w:rPr>
              <w:t xml:space="preserve">Program.cs (API)</w:t>
            </w:r>
          </w:p>
        </w:tc>
        <w:tc>
          <w:tcPr>
            <w:tcW w:type="dxa" w:w="2200"/>
            <w:shd w:fill="FFFFFF" w:val="clear"/>
            <w:tcMar>
              <w:top w:type="dxa" w:w="60"/>
              <w:left w:type="dxa" w:w="100"/>
              <w:bottom w:type="dxa" w:w="60"/>
              <w:right w:type="dxa" w:w="60"/>
            </w:tcMar>
          </w:tcPr>
          <w:p>
            <w:r>
              <w:rPr>
                <w:color w:val="000000"/>
                <w:sz w:val="18"/>
                <w:szCs w:val="18"/>
              </w:rPr>
              <w:t xml:space="preserve">API</w:t>
            </w:r>
          </w:p>
        </w:tc>
        <w:tc>
          <w:tcPr>
            <w:tcW w:type="dxa" w:w="4300"/>
            <w:shd w:fill="FFFFFF" w:val="clear"/>
            <w:tcMar>
              <w:top w:type="dxa" w:w="60"/>
              <w:left w:type="dxa" w:w="100"/>
              <w:bottom w:type="dxa" w:w="60"/>
              <w:right w:type="dxa" w:w="60"/>
            </w:tcMar>
          </w:tcPr>
          <w:p>
            <w:r>
              <w:rPr>
                <w:color w:val="000000"/>
                <w:sz w:val="18"/>
                <w:szCs w:val="18"/>
              </w:rPr>
              <w:t xml:space="preserve">Registers JWT Bearer, IDistributedCache (Redis), Key Vault, CORS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color w:val="757575"/>
        <w:sz w:val="16"/>
        <w:szCs w:val="16"/>
      </w:rPr>
      <w:t xml:space="preserve">Harshal Yelpale  ·  June 2026  ·  Page </w:t>
    </w:r>
    <w:r>
      <w:rPr>
        <w:color w:val="757575"/>
        <w:sz w:val="16"/>
        <w:szCs w:val="16"/>
      </w:rPr>
      <w:fldChar w:fldCharType="begin"/>
      <w:instrText xml:space="preserve">PAGE</w:instrText>
      <w:fldChar w:fldCharType="separate"/>
      <w:fldChar w:fldCharType="end"/>
    </w:r>
    <w:r>
      <w:rPr>
        <w:color w:val="757575"/>
        <w:sz w:val="16"/>
        <w:szCs w:val="16"/>
      </w:rPr>
      <w:t xml:space="preserve"> of </w:t>
    </w:r>
    <w:r>
      <w:rPr>
        <w:color w:val="7575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i/>
        <w:iCs/>
        <w:color w:val="757575"/>
        <w:sz w:val="16"/>
        <w:szCs w:val="16"/>
      </w:rPr>
      <w:t xml:space="preserve">Intervention Management Platform  ·  SAD v2.1.0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00"/>
    </w:pPr>
    <w:rPr>
      <w:rFonts w:ascii="Calibri" w:cs="Calibri" w:eastAsia="Calibri" w:hAnsi="Calibri"/>
      <w:b/>
      <w:bCs/>
      <w:color w:val="0D2B5C"/>
      <w:sz w:val="28"/>
      <w:szCs w:val="28"/>
    </w:rPr>
  </w:style>
  <w:style w:type="paragraph" w:styleId="Heading2">
    <w:name w:val="Heading 2"/>
    <w:basedOn w:val="Normal"/>
    <w:next w:val="Normal"/>
    <w:pPr>
      <w:spacing w:after="120" w:before="320"/>
    </w:pPr>
    <w:rPr>
      <w:rFonts w:ascii="Calibri" w:cs="Calibri" w:eastAsia="Calibri" w:hAnsi="Calibri"/>
      <w:b/>
      <w:bCs/>
      <w:color w:val="1565C0"/>
      <w:sz w:val="24"/>
      <w:szCs w:val="24"/>
    </w:rPr>
  </w:style>
  <w:style w:type="paragraph" w:styleId="Heading3">
    <w:name w:val="Heading 3"/>
    <w:basedOn w:val="Normal"/>
    <w:next w:val="Normal"/>
    <w:pPr>
      <w:spacing w:after="80" w:before="240"/>
    </w:pPr>
    <w:rPr>
      <w:rFonts w:ascii="Calibri" w:cs="Calibri" w:eastAsia="Calibri" w:hAnsi="Calibri"/>
      <w:b/>
      <w:bCs/>
      <w:color w:val="006DA3"/>
      <w:sz w:val="22"/>
      <w:szCs w:val="22"/>
    </w:rPr>
  </w:style>
  <w:style w:type="paragraph" w:styleId="Normal">
    <w:name w:val="Normal"/>
    <w:pPr>
      <w:spacing w:line="276"/>
    </w:pPr>
    <w:rPr>
      <w:rFonts w:ascii="Calibri" w:cs="Calibri" w:eastAsia="Calibri" w:hAnsi="Calibri"/>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 — IMP IAM SSO</dc:title>
  <dc:creator>Harshal Yelpale</dc:creator>
  <dc:description>Enterprise SSO &amp; Self-Healing RBAC Architecture for Intervention Management Platform</dc:description>
  <cp:lastModifiedBy>Un-named</cp:lastModifiedBy>
  <cp:revision>1</cp:revision>
  <dcterms:created xsi:type="dcterms:W3CDTF">2026-07-01T05:07:22.701Z</dcterms:created>
  <dcterms:modified xsi:type="dcterms:W3CDTF">2026-07-01T05:07:22.701Z</dcterms:modified>
</cp:coreProperties>
</file>

<file path=docProps/custom.xml><?xml version="1.0" encoding="utf-8"?>
<Properties xmlns="http://schemas.openxmlformats.org/officeDocument/2006/custom-properties" xmlns:vt="http://schemas.openxmlformats.org/officeDocument/2006/docPropsVTypes"/>
</file>