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9E66DA">
      <w:pPr>
        <w:bidi w:val="0"/>
        <w:spacing w:after="0"/>
        <w:jc w:val="left"/>
        <w:rPr>
          <w:noProof/>
          <w:rtl/>
        </w:rPr>
        <w:sectPr w:rsidR="004E3140" w:rsidSect="004E3140">
          <w:footerReference w:type="default" r:id="rId7"/>
          <w:footerReference w:type="first" r:id="rId8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03B1AA88" w:rsidR="00C514FF" w:rsidRPr="00C514FF" w:rsidRDefault="00F44CD9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03B1AA88" w:rsidR="00C514FF" w:rsidRPr="00C514FF" w:rsidRDefault="00F44CD9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1003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9E66DA">
      <w:pPr>
        <w:bidi w:val="0"/>
        <w:spacing w:after="0"/>
        <w:jc w:val="left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7748337">
                <wp:simplePos x="0" y="0"/>
                <wp:positionH relativeFrom="column">
                  <wp:posOffset>1151467</wp:posOffset>
                </wp:positionH>
                <wp:positionV relativeFrom="paragraph">
                  <wp:posOffset>1091777</wp:posOffset>
                </wp:positionV>
                <wp:extent cx="6250728" cy="5427133"/>
                <wp:effectExtent l="0" t="0" r="0" b="2540"/>
                <wp:wrapNone/>
                <wp:docPr id="1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728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3A7A3D5B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ملخص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</w:p>
                          <w:p w14:paraId="0F5E6D0A" w14:textId="3489CD4F" w:rsidR="001A3392" w:rsidRPr="00274A28" w:rsidRDefault="001A3392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example</w:t>
                            </w:r>
                          </w:p>
                          <w:p w14:paraId="550D21BF" w14:textId="5FDC0783" w:rsidR="00DA6233" w:rsidRPr="00274A28" w:rsidRDefault="00292A11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إنشاء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الملخص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لمساعدتكم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مراجعة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النقاط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الرئيسية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والمفاهيم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الأساسية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تناولتها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بشكل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مُركّز</w:t>
                            </w:r>
                            <w:r w:rsidRPr="00292A11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وموجز</w:t>
                            </w:r>
                            <w:r w:rsidR="00DA6233"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406CF39" w14:textId="709709A1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292A1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 الملخص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292A1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،</w:t>
                            </w:r>
                            <w:r w:rsid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و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عليمه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استخلاص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المعلومات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الأكثر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أهمية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وتقديمها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بأسلوب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واضح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3A42B6" w:rsidRPr="003A42B6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ومفهوم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73D47819" w14:textId="7525660F" w:rsidR="00DA6233" w:rsidRPr="00C3010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تم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مراجعة</w:t>
                            </w:r>
                            <w:r w:rsidRPr="0042128F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هذا 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الملف</w:t>
                            </w:r>
                            <w:r w:rsid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للتأكد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من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141C3" w:rsidRPr="000141C3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دقته</w:t>
                            </w:r>
                            <w:r w:rsidRPr="0042128F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،</w:t>
                            </w:r>
                            <w:r w:rsidR="00BE226D" w:rsidRPr="00BE226D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ه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لا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CB0D0B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ي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غني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عن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الرجوع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إلى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المصادر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الرئيسية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 w:hint="cs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للمادة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7D3320BF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5pt;margin-top:85.95pt;width:492.2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BaHAIAADQEAAAOAAAAZHJzL2Uyb0RvYy54bWysU8lu2zAQvRfoPxC811psx61gOXATuChg&#10;JAGcImeaIi0BFIclaUvu13dIeUPaU9ELNZwZzfLe4/y+bxU5COsa0CXNRiklQnOoGr0r6Y/X1afP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3A7A3D5B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ملخص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</w:p>
                    <w:p w14:paraId="0F5E6D0A" w14:textId="3489CD4F" w:rsidR="001A3392" w:rsidRPr="00274A28" w:rsidRDefault="001A3392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example</w:t>
                      </w:r>
                    </w:p>
                    <w:p w14:paraId="550D21BF" w14:textId="5FDC0783" w:rsidR="00DA6233" w:rsidRPr="00274A28" w:rsidRDefault="00292A11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إنشاء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الملخص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لمساعدتكم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مراجعة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النقاط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الرئيسية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والمفاهيم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الأساسية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تناولتها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بشكل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مُركّز</w:t>
                      </w:r>
                      <w:r w:rsidRPr="00292A11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وموجز</w:t>
                      </w:r>
                      <w:r w:rsidR="00DA6233"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3406CF39" w14:textId="709709A1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292A1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 الملخص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292A1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،</w:t>
                      </w:r>
                      <w:r w:rsid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و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</w:t>
                      </w:r>
                      <w:r w:rsid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عليمه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استخلاص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المعلومات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الأكثر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أهمية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وتقديمها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بأسلوب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واضح</w:t>
                      </w:r>
                      <w:r w:rsidR="003A42B6" w:rsidRPr="003A42B6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3A42B6" w:rsidRPr="003A42B6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ومفهوم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73D47819" w14:textId="7525660F" w:rsidR="00DA6233" w:rsidRPr="00C3010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</w:pP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تم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مراجعة</w:t>
                      </w:r>
                      <w:r w:rsidRPr="0042128F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هذا 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الملف</w:t>
                      </w:r>
                      <w:r w:rsid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للتأكد</w:t>
                      </w:r>
                      <w:r w:rsidR="000141C3"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من</w:t>
                      </w:r>
                      <w:r w:rsidR="000141C3" w:rsidRPr="000141C3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0141C3" w:rsidRPr="000141C3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دقته</w:t>
                      </w:r>
                      <w:r w:rsidRPr="0042128F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،</w:t>
                      </w:r>
                      <w:r w:rsidR="00BE226D" w:rsidRPr="00BE226D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ه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لا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="00CB0D0B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ي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غني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عن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الرجوع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إلى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المصادر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الرئيسية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 w:hint="cs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للمادة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7D3320BF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1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4EC6E9D8">
            <wp:extent cx="8149103" cy="10955867"/>
            <wp:effectExtent l="0" t="0" r="4445" b="0"/>
            <wp:docPr id="1006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EE7A" w14:textId="2F5E90A5" w:rsidR="00E75595" w:rsidRDefault="002C03CF" w:rsidP="002C03CF">
      <w:pPr>
        <w:bidi w:val="0"/>
        <w:spacing w:after="0" w:line="240" w:lineRule="auto"/>
        <w:jc w:val="left"/>
        <w:rPr>
          <w:rFonts w:ascii="Poppins" w:hAnsi="Poppins" w:cs="Poppins"/>
        </w:rPr>
      </w:pPr>
      <w:r>
        <w:rPr>
          <w:noProof/>
        </w:rPr>
        <w:lastRenderedPageBreak/>
        <w:drawing>
          <wp:inline distT="0" distB="0" distL="0" distR="0" wp14:anchorId="59DFE700" wp14:editId="7DADDBC3">
            <wp:extent cx="6463030" cy="9144000"/>
            <wp:effectExtent l="0" t="0" r="0" b="0"/>
            <wp:docPr id="1007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bidi w:val="0"/>
      </w:pPr>
      <w:r>
        <w:br w:type="page"/>
      </w:r>
    </w:p>
    <w:sectPr w:rsidR="00E75595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  <w:bookmarkStart w:id="20" w:name="incidence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Incidence</w:t>
      </w:r>
    </w:p>
    <w:p>
      <w:pPr>
        <w:pStyle w:val="FirstParagraph"/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Down syndrome occurs in approximately 1 in 600 births. Male to female ratio at birth is 1.24:1.0.</w:t>
      </w:r>
    </w:p>
    <w:bookmarkEnd w:id="20"/>
    <w:bookmarkStart w:id="21" w:name="down-syndrome-genotypes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Down Syndrome Genotypes</w:t>
      </w:r>
    </w:p>
    <w:p>
      <w:pPr>
        <w:pStyle w:val="Compact"/>
        <w:numPr>
          <w:ilvl w:val="0"/>
          <w:numId w:val="1001"/>
        </w:numPr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Meiotic non-disjunction (Trisomy 21): 95%</w:t>
      </w:r>
    </w:p>
    <w:p>
      <w:pPr>
        <w:pStyle w:val="Compact"/>
        <w:numPr>
          <w:ilvl w:val="0"/>
          <w:numId w:val="1001"/>
        </w:numPr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Translocation Trisomy: 4%</w:t>
      </w:r>
    </w:p>
    <w:p>
      <w:pPr>
        <w:pStyle w:val="Compact"/>
        <w:numPr>
          <w:ilvl w:val="0"/>
          <w:numId w:val="1001"/>
        </w:numPr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Mosaic type: 1%</w:t>
      </w:r>
    </w:p>
    <w:bookmarkEnd w:id="21"/>
    <w:bookmarkStart w:id="22" w:name="meiotic-non-disjunction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Meiotic Non-Disjunction</w:t>
      </w:r>
    </w:p>
    <w:p>
      <w:pPr>
        <w:pStyle w:val="FirstParagraph"/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Most common type (95%) resulting from meiotic non-disjunction, leading to an additional chromosome 21 (47, XX, +21). 70% of cases occur in mothers over 30. Parental karyotype is usually normal.</w:t>
      </w:r>
    </w:p>
    <w:bookmarkEnd w:id="22"/>
    <w:bookmarkStart w:id="23" w:name="translocation-trisomy-21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Translocation Trisomy 21</w:t>
      </w:r>
    </w:p>
    <w:p>
      <w:pPr>
        <w:pStyle w:val="FirstParagraph"/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Accounts for 4% of cases. Individuals have a normal number of chromosomes (46), but an extra chromosome 21 is attached to another chromosome (13, 14, 15, or 21), represented as 46, XX, +t(14q21q).</w:t>
      </w:r>
    </w:p>
    <w:bookmarkEnd w:id="23"/>
    <w:bookmarkStart w:id="24" w:name="translocation-trisomy-mechanisms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Translocation Trisomy Mechanisms</w:t>
      </w:r>
    </w:p>
    <w:p>
      <w:pPr>
        <w:pStyle w:val="Compact"/>
        <w:numPr>
          <w:ilvl w:val="0"/>
          <w:numId w:val="1002"/>
        </w:numPr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Sporadic: Arises de novo; parents are usually normal.</w:t>
      </w:r>
    </w:p>
    <w:p>
      <w:pPr>
        <w:pStyle w:val="Compact"/>
        <w:numPr>
          <w:ilvl w:val="0"/>
          <w:numId w:val="1002"/>
        </w:numPr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Inherited: Inherited from a balanced translocation carrier parent (45, XX, t(14q21q)).</w:t>
      </w:r>
    </w:p>
    <w:bookmarkEnd w:id="24"/>
    <w:bookmarkStart w:id="25" w:name="mosaicism"/>
    <w:p>
      <w:pPr>
        <w:pStyle w:val="Heading2"/>
        <w:spacing w:line="240" w:lineRule="auto" w:before="240" w:after="120"/>
        <w:ind w:left="0"/>
        <w:jc w:val="left"/>
        <w:bidi w:val="0"/>
      </w:pPr>
      <w:r>
        <w:rPr>
          <w:rFonts w:ascii="Poppins" w:hAnsi="Poppins" w:eastAsia="Poppins" w:cs="Poppins"/>
        </w:rPr>
        <w:t xml:space="preserve">Mosaicism</w:t>
      </w:r>
    </w:p>
    <w:p>
      <w:pPr>
        <w:pStyle w:val="FirstParagraph"/>
        <w:spacing w:line="240" w:lineRule="auto"/>
        <w:ind w:left="0" w:firstLine="0"/>
        <w:jc w:val="left"/>
        <w:bidi w:val="0"/>
      </w:pPr>
      <w:r>
        <w:rPr>
          <w:rFonts w:ascii="Poppins" w:hAnsi="Poppins" w:eastAsia="Poppins" w:cs="Poppins"/>
        </w:rPr>
        <w:t xml:space="preserve">Represents 1% of cases, involving various proportions of trisomy 21 (47, XX, +21) and normal cells (46, XX). Intelligence may vary depending on the number of trisomic cells present. Parents are usually normal.</w:t>
      </w:r>
    </w:p>
    <w:bookmarkEnd w:id="25"/>
    <w:sectPr>
      <w:footnotePr>
        <w:numRestart w:val="eachSect"/>
      </w:foot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7B4F3" w14:textId="77777777" w:rsidR="00320B0E" w:rsidRDefault="00320B0E" w:rsidP="00226F9D">
      <w:pPr>
        <w:spacing w:after="0" w:line="240" w:lineRule="auto"/>
      </w:pPr>
      <w:r>
        <w:separator/>
      </w:r>
    </w:p>
  </w:endnote>
  <w:endnote w:type="continuationSeparator" w:id="0">
    <w:p w14:paraId="09640AC1" w14:textId="77777777" w:rsidR="00320B0E" w:rsidRDefault="00320B0E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97FE6" w14:textId="77777777" w:rsidR="00320B0E" w:rsidRDefault="00320B0E" w:rsidP="00226F9D">
      <w:pPr>
        <w:spacing w:after="0" w:line="240" w:lineRule="auto"/>
      </w:pPr>
      <w:r>
        <w:separator/>
      </w:r>
    </w:p>
  </w:footnote>
  <w:footnote w:type="continuationSeparator" w:id="0">
    <w:p w14:paraId="1ACE26E8" w14:textId="77777777" w:rsidR="00320B0E" w:rsidRDefault="00320B0E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141C3"/>
    <w:rsid w:val="00020BFD"/>
    <w:rsid w:val="00035A94"/>
    <w:rsid w:val="00036003"/>
    <w:rsid w:val="00086E5A"/>
    <w:rsid w:val="00100C74"/>
    <w:rsid w:val="00104BB1"/>
    <w:rsid w:val="0015024F"/>
    <w:rsid w:val="0018266F"/>
    <w:rsid w:val="0018299B"/>
    <w:rsid w:val="001A3392"/>
    <w:rsid w:val="001C1F1D"/>
    <w:rsid w:val="001D5468"/>
    <w:rsid w:val="00226F9D"/>
    <w:rsid w:val="00274A28"/>
    <w:rsid w:val="00292A11"/>
    <w:rsid w:val="00296CDA"/>
    <w:rsid w:val="002C03CF"/>
    <w:rsid w:val="002D3B10"/>
    <w:rsid w:val="00320B0E"/>
    <w:rsid w:val="00323983"/>
    <w:rsid w:val="003762E3"/>
    <w:rsid w:val="003A42B6"/>
    <w:rsid w:val="003D45EA"/>
    <w:rsid w:val="003D5093"/>
    <w:rsid w:val="00412C35"/>
    <w:rsid w:val="0042128F"/>
    <w:rsid w:val="00470EE1"/>
    <w:rsid w:val="004D37C7"/>
    <w:rsid w:val="004E3140"/>
    <w:rsid w:val="005255F3"/>
    <w:rsid w:val="00557EE6"/>
    <w:rsid w:val="00560F3B"/>
    <w:rsid w:val="00597D42"/>
    <w:rsid w:val="005E512E"/>
    <w:rsid w:val="00621A9F"/>
    <w:rsid w:val="00642372"/>
    <w:rsid w:val="006559F8"/>
    <w:rsid w:val="00680398"/>
    <w:rsid w:val="00697173"/>
    <w:rsid w:val="006C1A71"/>
    <w:rsid w:val="006D6F13"/>
    <w:rsid w:val="006E4725"/>
    <w:rsid w:val="006F34E2"/>
    <w:rsid w:val="00705DB0"/>
    <w:rsid w:val="00714862"/>
    <w:rsid w:val="00771C2F"/>
    <w:rsid w:val="00782871"/>
    <w:rsid w:val="007B3934"/>
    <w:rsid w:val="007F252A"/>
    <w:rsid w:val="008712E1"/>
    <w:rsid w:val="008C6D71"/>
    <w:rsid w:val="008D798E"/>
    <w:rsid w:val="008F79F4"/>
    <w:rsid w:val="009038E4"/>
    <w:rsid w:val="00906A47"/>
    <w:rsid w:val="00952067"/>
    <w:rsid w:val="009C3EB3"/>
    <w:rsid w:val="009E66DA"/>
    <w:rsid w:val="009E7B62"/>
    <w:rsid w:val="009F23B1"/>
    <w:rsid w:val="00A4764A"/>
    <w:rsid w:val="00A83DB5"/>
    <w:rsid w:val="00AB64F2"/>
    <w:rsid w:val="00AE3DB9"/>
    <w:rsid w:val="00AF4BDB"/>
    <w:rsid w:val="00B015A6"/>
    <w:rsid w:val="00B22EEC"/>
    <w:rsid w:val="00B64158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97013"/>
    <w:rsid w:val="00CA408F"/>
    <w:rsid w:val="00CB0D0B"/>
    <w:rsid w:val="00D3260A"/>
    <w:rsid w:val="00D818BB"/>
    <w:rsid w:val="00DA6233"/>
    <w:rsid w:val="00DC0C7D"/>
    <w:rsid w:val="00DE5B41"/>
    <w:rsid w:val="00E029F8"/>
    <w:rsid w:val="00E45509"/>
    <w:rsid w:val="00E63774"/>
    <w:rsid w:val="00E71230"/>
    <w:rsid w:val="00E75595"/>
    <w:rsid w:val="00E86640"/>
    <w:rsid w:val="00EB3071"/>
    <w:rsid w:val="00EB3B96"/>
    <w:rsid w:val="00ED7FEA"/>
    <w:rsid w:val="00EE0F80"/>
    <w:rsid w:val="00F04C46"/>
    <w:rsid w:val="00F167C7"/>
    <w:rsid w:val="00F16D94"/>
    <w:rsid w:val="00F17E6D"/>
    <w:rsid w:val="00F44CD9"/>
    <w:rsid w:val="00F5580D"/>
    <w:rsid w:val="00F745EB"/>
    <w:rsid w:val="00F87584"/>
    <w:rsid w:val="00FB2EEC"/>
    <w:rsid w:val="00FB7503"/>
    <w:rsid w:val="00FD0A79"/>
    <w:rsid w:val="00F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98</cp:revision>
  <dcterms:created xsi:type="dcterms:W3CDTF">2025-03-23T18:24:00Z</dcterms:created>
  <dcterms:modified xsi:type="dcterms:W3CDTF">2025-03-26T21:21:00Z</dcterms:modified>
  <dc:identifier/>
  <dc:language/>
</cp:coreProperties>
</file>