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200"/>
        <w:jc w:val="center"/>
      </w:pPr>
      <w:r>
        <w:rPr>
          <w:b/>
          <w:bCs/>
          <w:color w:val="1e1b4b"/>
          <w:sz w:val="32"/>
          <w:szCs w:val="32"/>
        </w:rPr>
        <w:t xml:space="preserve">Система «Коммерческий Разведчик»</w:t>
      </w:r>
    </w:p>
    <w:p>
      <w:pPr>
        <w:spacing w:after="300"/>
        <w:jc w:val="center"/>
      </w:pPr>
      <w:r>
        <w:rPr>
          <w:i/>
          <w:iCs/>
          <w:color w:val="475569"/>
          <w:sz w:val="24"/>
          <w:szCs w:val="24"/>
        </w:rPr>
        <w:t xml:space="preserve">AI-платформа автоматизации лидогенерации и анализа рынка</w:t>
      </w:r>
    </w:p>
    <w:p>
      <w:pPr>
        <w:pStyle w:val="Heading1"/>
        <w:spacing w:after="100" w:before="200"/>
      </w:pPr>
      <w:r>
        <w:t xml:space="preserve">1. Введение и общая концепция</w:t>
      </w:r>
    </w:p>
    <w:p>
      <w:r>
        <w:t xml:space="preserve">Система «Коммерческий разведчик» — это интеллектуальная платформа, предназначенная для автоматизации сбора информации о компаниях, квалификации потенциальных клиентов (лидов) и поиска альтернативных глобальных поставщиков. Основная цель проекта — освободить менеджеров по продажам от рутинного ручного поиска данных в открытых источниках (соцсети, маркетплейсы, карты 2GIS) и предоставлять им готовые, квалифицированные коммерческие возможности.</w:t>
      </w:r>
    </w:p>
    <w:p>
      <w:pPr>
        <w:spacing w:after="100" w:before="100"/>
      </w:pPr>
      <w:r>
        <w:t xml:space="preserve">Система работает в двух ролевых режимах: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Администратор (Admin): </w:t>
      </w:r>
      <w:r>
        <w:t xml:space="preserve">Имеет полный доступ к системе, включая вкладку «Настройки системы». Может в реальном времени изменять параметры поиска (выбирать источники, регулировать порог скоринга и менять регион разведки).</w:t>
      </w:r>
    </w:p>
    <w:p>
      <w:pPr>
        <w:pStyle w:val="ListParagraph"/>
        <w:numPr>
          <w:ilvl w:val="0"/>
          <w:numId w:val="1"/>
        </w:numPr>
        <w:spacing w:after="200"/>
      </w:pPr>
      <w:r>
        <w:rPr>
          <w:b/>
          <w:bCs/>
        </w:rPr>
        <w:t xml:space="preserve">Менеджер (Manager): </w:t>
      </w:r>
      <w:r>
        <w:t xml:space="preserve">Имеет доступ к CRM-инструментам, спискам лидов, истории коммуникаций и карточкам компаний, но не видит системные настройки.</w:t>
      </w:r>
    </w:p>
    <w:p>
      <w:pPr>
        <w:spacing w:after="50" w:before="150"/>
        <w:jc w:val="center"/>
      </w:pPr>
      <w:r>
        <w:drawing>
          <wp:inline distT="0" distB="0" distL="0" distR="0">
            <wp:extent cx="4572000" cy="2571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  <w:jc w:val="center"/>
      </w:pPr>
      <w:r>
        <w:rPr>
          <w:i/>
          <w:iCs/>
          <w:color w:val="64748b"/>
          <w:sz w:val="18"/>
          <w:szCs w:val="18"/>
        </w:rPr>
        <w:t xml:space="preserve">Рисунок 1: Корпоративный экран авторизации с JWT-токенами</w:t>
      </w:r>
    </w:p>
    <w:p>
      <w:pPr>
        <w:pStyle w:val="Heading1"/>
        <w:spacing w:after="100" w:before="300"/>
      </w:pPr>
      <w:r>
        <w:t xml:space="preserve">2. Технологический стек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Backend: </w:t>
      </w:r>
      <w:r>
        <w:t xml:space="preserve">Язык программирования Go (Golang). Архитектурный стиль — Clean Architecture с явным разделением на слои (domain, repository, service, handler). Для роутинга используется chi, для работы с JWT — golang-jwt/jwt, пароли шифруются с помощью bcrypt.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Frontend: </w:t>
      </w:r>
      <w:r>
        <w:t xml:space="preserve">React SPA, скомпилированный на Vite. В качестве стилизации используется новейший Tailwind CSS v4, обеспечивающий чистый, профессиональный корпоративный стиль.</w:t>
      </w:r>
    </w:p>
    <w:p>
      <w:pPr>
        <w:pStyle w:val="ListParagraph"/>
        <w:numPr>
          <w:ilvl w:val="0"/>
          <w:numId w:val="1"/>
        </w:numPr>
        <w:spacing w:after="200"/>
      </w:pPr>
      <w:r>
        <w:rPr>
          <w:b/>
          <w:bCs/>
        </w:rPr>
        <w:t xml:space="preserve">Database: </w:t>
      </w:r>
      <w:r>
        <w:t xml:space="preserve">PostgreSQL. Реализован автоматический запуск миграций и наполнение базы данных демо-лидами.</w:t>
      </w:r>
    </w:p>
    <w:p>
      <w:pPr>
        <w:pStyle w:val="Heading1"/>
        <w:spacing w:after="100" w:before="300"/>
      </w:pPr>
      <w:r>
        <w:t xml:space="preserve">3. Функциональные возможности и интерфейс</w:t>
      </w:r>
    </w:p>
    <w:p>
      <w:r>
        <w:t xml:space="preserve">Интерфейс дашборда разработан по строгим корпоративным канонам: он поддерживает светлую и темную темы оформления, обладает высокой контрастностью и структурированным представлением данных. Дашборд содержит виджеты статистики (количество покупателей, поставщиков, высокопотенциальных лидов и задач в работе) и панель фильтрации.</w:t>
      </w:r>
    </w:p>
    <w:p>
      <w:pPr>
        <w:spacing w:after="50" w:before="150"/>
        <w:jc w:val="center"/>
      </w:pPr>
      <w:r>
        <w:drawing>
          <wp:inline distT="0" distB="0" distL="0" distR="0">
            <wp:extent cx="4572000" cy="2571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  <w:jc w:val="center"/>
      </w:pPr>
      <w:r>
        <w:rPr>
          <w:i/>
          <w:iCs/>
          <w:color w:val="64748b"/>
          <w:sz w:val="18"/>
          <w:szCs w:val="18"/>
        </w:rPr>
        <w:t xml:space="preserve">Рисунок 2: Корпоративный дашборд с виджетами статистики и таблицей лидов</w:t>
      </w:r>
    </w:p>
    <w:p>
      <w:pPr>
        <w:pStyle w:val="Heading2"/>
        <w:spacing w:after="100" w:before="200"/>
      </w:pPr>
      <w:r>
        <w:t xml:space="preserve">3.1. Управление настройками системы (Только для Администраторов)</w:t>
      </w:r>
    </w:p>
    <w:p>
      <w:r>
        <w:t xml:space="preserve">Вкладка «Настройки системы» позволяет администраторам конфигурировать поисковые параметры. Здесь можно активировать/деактивировать источники сбора данных (например, Kaspi, 2GIS, Instagram, Ozon, Satu, Wildberries), задать основной регион и определить порог, по которому рассчитывается «Высокий потенциал» сделки.</w:t>
      </w:r>
    </w:p>
    <w:p>
      <w:pPr>
        <w:spacing w:after="50" w:before="150"/>
        <w:jc w:val="center"/>
      </w:pPr>
      <w:r>
        <w:drawing>
          <wp:inline distT="0" distB="0" distL="0" distR="0">
            <wp:extent cx="4572000" cy="2571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  <w:jc w:val="center"/>
      </w:pPr>
      <w:r>
        <w:rPr>
          <w:i/>
          <w:iCs/>
          <w:color w:val="64748b"/>
          <w:sz w:val="18"/>
          <w:szCs w:val="18"/>
        </w:rPr>
        <w:t xml:space="preserve">Рисунок 3: Панель администрирования поисковых источников и лимитов скоринга</w:t>
      </w:r>
    </w:p>
    <w:p>
      <w:pPr>
        <w:pStyle w:val="Heading2"/>
        <w:spacing w:after="100" w:before="200"/>
      </w:pPr>
      <w:r>
        <w:t xml:space="preserve">3.2. Детальная карточка лида и AI-помощник</w:t>
      </w:r>
    </w:p>
    <w:p>
      <w:r>
        <w:t xml:space="preserve">При нажатии кнопки «Смотреть» открывается выдвижная боковая панель с детальной информацией. Панель разделена на три секции: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Анализ пробелов: </w:t>
      </w:r>
      <w:r>
        <w:t xml:space="preserve">Отображает AI-оценку (от 1 до 10), обнаруженные дефициты ассортимента на полке или сайте компании и рекомендацию по продаже.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Коммерческое предложение (КП): </w:t>
      </w:r>
      <w:r>
        <w:t xml:space="preserve">Позволяет сгенерировать готовое письмо под товарные дефициты компании и скопировать его в буфер обмена в один клик.</w:t>
      </w:r>
    </w:p>
    <w:p>
      <w:pPr>
        <w:pStyle w:val="ListParagraph"/>
        <w:numPr>
          <w:ilvl w:val="0"/>
          <w:numId w:val="1"/>
        </w:numPr>
        <w:spacing w:after="200"/>
      </w:pPr>
      <w:r>
        <w:rPr>
          <w:b/>
          <w:bCs/>
        </w:rPr>
        <w:t xml:space="preserve">CRM Задачи &amp; Логи: </w:t>
      </w:r>
      <w:r>
        <w:t xml:space="preserve">Позволяет менеджеру вести чек-лист задач по сделке и регистрировать логи коммуникаций в WhatsApp, Instagram, звонках или email.</w:t>
      </w:r>
    </w:p>
    <w:p>
      <w:pPr>
        <w:spacing w:after="50" w:before="150"/>
        <w:jc w:val="center"/>
      </w:pPr>
      <w:r>
        <w:drawing>
          <wp:inline distT="0" distB="0" distL="0" distR="0">
            <wp:extent cx="4572000" cy="2571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  <w:jc w:val="center"/>
      </w:pPr>
      <w:r>
        <w:rPr>
          <w:i/>
          <w:iCs/>
          <w:color w:val="64748b"/>
          <w:sz w:val="18"/>
          <w:szCs w:val="18"/>
        </w:rPr>
        <w:t xml:space="preserve">Рисунок 4: Детальная боковая панель компании с AI-рекомендациями по сделке</w:t>
      </w:r>
    </w:p>
    <w:p>
      <w:pPr>
        <w:pStyle w:val="Heading1"/>
        <w:spacing w:after="100" w:before="300"/>
      </w:pPr>
      <w:r>
        <w:t xml:space="preserve">4. Схема базы данных (PostgreSQL)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companies: </w:t>
      </w:r>
      <w:r>
        <w:t xml:space="preserve">хранит название, тип (client / supplier), нишу, сайт, регион и контактные данные в формате JSONB.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analysis_results: </w:t>
      </w:r>
      <w:r>
        <w:t xml:space="preserve">хранит скоринг (1-10), массив найденных пробелов (TEXT[]) и текстовые AI-рекомендации.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tasks: </w:t>
      </w:r>
      <w:r>
        <w:t xml:space="preserve">чек-лист задач для менеджеров со статусами (new / in_progress / closed).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communications: </w:t>
      </w:r>
      <w:r>
        <w:t xml:space="preserve">история взаимодействий и комментариев.</w:t>
      </w:r>
    </w:p>
    <w:p>
      <w:pPr>
        <w:pStyle w:val="ListParagraph"/>
        <w:numPr>
          <w:ilvl w:val="0"/>
          <w:numId w:val="1"/>
        </w:numPr>
        <w:spacing w:after="200"/>
      </w:pPr>
      <w:r>
        <w:rPr>
          <w:b/>
          <w:bCs/>
        </w:rPr>
        <w:t xml:space="preserve">users: </w:t>
      </w:r>
      <w:r>
        <w:t xml:space="preserve">операторы системы с ролями (admin / manager) и хэшами паролей.</w:t>
      </w:r>
    </w:p>
    <w:p>
      <w:pPr>
        <w:pStyle w:val="Heading1"/>
        <w:spacing w:after="100" w:before="300"/>
      </w:pPr>
      <w:r>
        <w:t xml:space="preserve">5. Инструкция по локальному запуску</w:t>
      </w:r>
    </w:p>
    <w:p>
      <w:pPr>
        <w:pStyle w:val="Heading2"/>
      </w:pPr>
      <w:r>
        <w:t xml:space="preserve">Для запуска бэкенда:</w:t>
      </w:r>
    </w:p>
    <w:p>
      <w:r>
        <w:t xml:space="preserve">Укажите параметры соединения в файле .env в корневой директории и выполните запуск собранного бинарного файла:
</w:t>
      </w:r>
      <w:r>
        <w:rPr>
          <w:rFonts w:ascii="Consolas" w:cs="Consolas" w:eastAsia="Consolas" w:hAnsi="Consolas"/>
          <w:sz w:val="20"/>
          <w:szCs w:val="20"/>
        </w:rPr>
        <w:t xml:space="preserve">.\scout-api.exe</w:t>
      </w:r>
    </w:p>
    <w:p>
      <w:pPr>
        <w:pStyle w:val="Heading2"/>
        <w:spacing w:before="100"/>
      </w:pPr>
      <w:r>
        <w:t xml:space="preserve">Для запуска фронтенда:</w:t>
      </w:r>
    </w:p>
    <w:p>
      <w:r>
        <w:t xml:space="preserve">Установите зависимости node_modules и запустите сервер разработки Vite:
</w:t>
      </w:r>
      <w:r>
        <w:rPr>
          <w:rFonts w:ascii="Consolas" w:cs="Consolas" w:eastAsia="Consolas" w:hAnsi="Consolas"/>
          <w:sz w:val="20"/>
          <w:szCs w:val="20"/>
        </w:rPr>
        <w:t xml:space="preserve">npm install
npm run dev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2871980fee8bb00223701f27b6da9841c281e4c.undefined"/><Relationship Id="rId8" Type="http://schemas.openxmlformats.org/officeDocument/2006/relationships/image" Target="media/1d599fa9bd111d25d95fda9ed3d291665d808e77.undefined"/><Relationship Id="rId9" Type="http://schemas.openxmlformats.org/officeDocument/2006/relationships/image" Target="media/283a01158730ba84af2d737e6895a7f853a2576e.undefined"/><Relationship Id="rId10" Type="http://schemas.openxmlformats.org/officeDocument/2006/relationships/image" Target="media/ae40b66a292a82b61de1e09f2316bd8df40e64ed.undefined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2026-06-12T10:31:57.165Z</dcterms:created>
  <dcterms:modified xsi:type="dcterms:W3CDTF">2026-06-12T10:31:57.166Z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