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E5B" w:rsidRDefault="00423E5B" w:rsidP="003F5AB6">
      <w:pPr>
        <w:widowControl/>
        <w:jc w:val="left"/>
        <w:rPr>
          <w:rFonts w:ascii="Verdana" w:eastAsia="ＭＳ Ｐゴシック" w:hAnsi="Verdana" w:cs="ＭＳ Ｐゴシック"/>
          <w:color w:val="111111"/>
          <w:kern w:val="0"/>
          <w:sz w:val="17"/>
          <w:szCs w:val="17"/>
        </w:rPr>
      </w:pPr>
      <w:bookmarkStart w:id="0" w:name="_GoBack"/>
      <w:bookmarkEnd w:id="0"/>
      <w:r>
        <w:rPr>
          <w:rFonts w:ascii="Verdana" w:eastAsia="ＭＳ Ｐゴシック" w:hAnsi="Verdana" w:cs="ＭＳ Ｐゴシック" w:hint="eastAsia"/>
          <w:color w:val="111111"/>
          <w:kern w:val="0"/>
          <w:sz w:val="17"/>
          <w:szCs w:val="17"/>
        </w:rPr>
        <w:t>変動係数に着目した速読力と語彙力と総合的熟達度の関係に関する実証的研究</w:t>
      </w:r>
    </w:p>
    <w:p w:rsidR="00423E5B" w:rsidRDefault="00423E5B" w:rsidP="003F5AB6">
      <w:pPr>
        <w:widowControl/>
        <w:jc w:val="left"/>
        <w:rPr>
          <w:rFonts w:ascii="Verdana" w:eastAsia="ＭＳ Ｐゴシック" w:hAnsi="Verdana" w:cs="ＭＳ Ｐゴシック"/>
          <w:color w:val="111111"/>
          <w:kern w:val="0"/>
          <w:sz w:val="17"/>
          <w:szCs w:val="17"/>
        </w:rPr>
      </w:pPr>
    </w:p>
    <w:p w:rsidR="00423E5B" w:rsidRDefault="00423E5B" w:rsidP="003F5AB6">
      <w:pPr>
        <w:widowControl/>
        <w:jc w:val="left"/>
        <w:rPr>
          <w:rFonts w:ascii="Verdana" w:eastAsia="ＭＳ Ｐゴシック" w:hAnsi="Verdana" w:cs="ＭＳ Ｐゴシック"/>
          <w:color w:val="111111"/>
          <w:kern w:val="0"/>
          <w:sz w:val="17"/>
          <w:szCs w:val="17"/>
        </w:rPr>
      </w:pPr>
    </w:p>
    <w:p w:rsidR="003F5AB6" w:rsidRPr="003F5AB6" w:rsidRDefault="0064494E" w:rsidP="003F5AB6">
      <w:pPr>
        <w:widowControl/>
        <w:jc w:val="left"/>
        <w:rPr>
          <w:rFonts w:ascii="Verdana" w:eastAsia="ＭＳ Ｐゴシック" w:hAnsi="Verdana" w:cs="ＭＳ Ｐゴシック"/>
          <w:color w:val="111111"/>
          <w:kern w:val="0"/>
          <w:sz w:val="17"/>
          <w:szCs w:val="17"/>
        </w:rPr>
      </w:pPr>
      <w:hyperlink r:id="rId7" w:tgtFrame="_parent" w:history="1">
        <w:r w:rsidR="003F5AB6" w:rsidRPr="003F5AB6">
          <w:rPr>
            <w:rFonts w:ascii="Verdana" w:eastAsia="ＭＳ Ｐゴシック" w:hAnsi="Verdana" w:cs="ＭＳ Ｐゴシック"/>
            <w:color w:val="337755"/>
            <w:kern w:val="0"/>
            <w:sz w:val="17"/>
            <w:szCs w:val="17"/>
          </w:rPr>
          <w:t>Home</w:t>
        </w:r>
      </w:hyperlink>
      <w:r w:rsidR="003F5AB6" w:rsidRPr="003F5AB6">
        <w:rPr>
          <w:rFonts w:ascii="Verdana" w:eastAsia="ＭＳ Ｐゴシック" w:hAnsi="Verdana" w:cs="ＭＳ Ｐゴシック"/>
          <w:color w:val="111111"/>
          <w:kern w:val="0"/>
          <w:sz w:val="17"/>
          <w:szCs w:val="17"/>
        </w:rPr>
        <w:t xml:space="preserve"> &gt; </w:t>
      </w:r>
      <w:hyperlink r:id="rId8" w:tgtFrame="_parent" w:history="1">
        <w:r w:rsidR="003F5AB6" w:rsidRPr="003F5AB6">
          <w:rPr>
            <w:rFonts w:ascii="Verdana" w:eastAsia="ＭＳ Ｐゴシック" w:hAnsi="Verdana" w:cs="ＭＳ Ｐゴシック"/>
            <w:color w:val="337755"/>
            <w:kern w:val="0"/>
            <w:sz w:val="17"/>
            <w:szCs w:val="17"/>
          </w:rPr>
          <w:t>Vol 1 (2007)</w:t>
        </w:r>
      </w:hyperlink>
      <w:r w:rsidR="003F5AB6" w:rsidRPr="003F5AB6">
        <w:rPr>
          <w:rFonts w:ascii="Verdana" w:eastAsia="ＭＳ Ｐゴシック" w:hAnsi="Verdana" w:cs="ＭＳ Ｐゴシック"/>
          <w:color w:val="111111"/>
          <w:kern w:val="0"/>
          <w:sz w:val="17"/>
          <w:szCs w:val="17"/>
        </w:rPr>
        <w:t xml:space="preserve"> &gt; </w:t>
      </w:r>
      <w:hyperlink r:id="rId9" w:tgtFrame="_parent" w:history="1">
        <w:r w:rsidR="003F5AB6" w:rsidRPr="003F5AB6">
          <w:rPr>
            <w:rFonts w:ascii="Verdana" w:eastAsia="ＭＳ Ｐゴシック" w:hAnsi="Verdana" w:cs="ＭＳ Ｐゴシック"/>
            <w:b/>
            <w:bCs/>
            <w:color w:val="337755"/>
            <w:kern w:val="0"/>
            <w:sz w:val="17"/>
            <w:szCs w:val="17"/>
          </w:rPr>
          <w:t>Harrington</w:t>
        </w:r>
      </w:hyperlink>
    </w:p>
    <w:p w:rsidR="003F5AB6" w:rsidRPr="003F5AB6" w:rsidRDefault="003F5AB6" w:rsidP="003F5AB6">
      <w:pPr>
        <w:widowControl/>
        <w:spacing w:after="60"/>
        <w:ind w:right="240"/>
        <w:jc w:val="left"/>
        <w:outlineLvl w:val="3"/>
        <w:rPr>
          <w:rFonts w:ascii="Georgia" w:eastAsia="ＭＳ Ｐゴシック" w:hAnsi="Georgia" w:cs="ＭＳ Ｐゴシック"/>
          <w:color w:val="111111"/>
          <w:kern w:val="0"/>
          <w:sz w:val="31"/>
          <w:szCs w:val="31"/>
        </w:rPr>
      </w:pPr>
      <w:r w:rsidRPr="003F5AB6">
        <w:rPr>
          <w:rFonts w:ascii="Georgia" w:eastAsia="ＭＳ Ｐゴシック" w:hAnsi="Georgia" w:cs="ＭＳ Ｐゴシック"/>
          <w:color w:val="111111"/>
          <w:kern w:val="0"/>
          <w:sz w:val="31"/>
          <w:szCs w:val="31"/>
        </w:rPr>
        <w:t>The Coefficient of Variance as an index of L2 lexical processing skill</w:t>
      </w:r>
    </w:p>
    <w:p w:rsidR="003F5AB6" w:rsidRPr="003F5AB6" w:rsidRDefault="003F5AB6" w:rsidP="003F5AB6">
      <w:pPr>
        <w:widowControl/>
        <w:jc w:val="left"/>
        <w:rPr>
          <w:rFonts w:ascii="Verdana" w:eastAsia="ＭＳ Ｐゴシック" w:hAnsi="Verdana" w:cs="ＭＳ Ｐゴシック"/>
          <w:color w:val="111111"/>
          <w:kern w:val="0"/>
          <w:sz w:val="17"/>
          <w:szCs w:val="17"/>
        </w:rPr>
      </w:pPr>
      <w:r w:rsidRPr="003F5AB6">
        <w:rPr>
          <w:rFonts w:ascii="Verdana" w:eastAsia="ＭＳ Ｐゴシック" w:hAnsi="Verdana" w:cs="ＭＳ Ｐゴシック"/>
          <w:i/>
          <w:iCs/>
          <w:color w:val="111111"/>
          <w:kern w:val="0"/>
          <w:sz w:val="17"/>
        </w:rPr>
        <w:t>Michael Harrington</w:t>
      </w:r>
    </w:p>
    <w:p w:rsidR="003F5AB6" w:rsidRPr="003F5AB6" w:rsidRDefault="003F5AB6" w:rsidP="003F5AB6">
      <w:pPr>
        <w:widowControl/>
        <w:jc w:val="left"/>
        <w:rPr>
          <w:rFonts w:ascii="Verdana" w:eastAsia="ＭＳ Ｐゴシック" w:hAnsi="Verdana" w:cs="ＭＳ Ｐゴシック"/>
          <w:color w:val="111111"/>
          <w:kern w:val="0"/>
          <w:sz w:val="17"/>
          <w:szCs w:val="17"/>
        </w:rPr>
      </w:pPr>
    </w:p>
    <w:p w:rsidR="003F5AB6" w:rsidRPr="003F5AB6" w:rsidRDefault="003F5AB6" w:rsidP="003F5AB6">
      <w:pPr>
        <w:widowControl/>
        <w:spacing w:before="180" w:after="60"/>
        <w:ind w:right="240"/>
        <w:jc w:val="left"/>
        <w:outlineLvl w:val="4"/>
        <w:rPr>
          <w:rFonts w:ascii="Georgia" w:eastAsia="ＭＳ Ｐゴシック" w:hAnsi="Georgia" w:cs="ＭＳ Ｐゴシック"/>
          <w:color w:val="111111"/>
          <w:kern w:val="0"/>
          <w:sz w:val="26"/>
          <w:szCs w:val="26"/>
        </w:rPr>
      </w:pPr>
      <w:r w:rsidRPr="003F5AB6">
        <w:rPr>
          <w:rFonts w:ascii="Georgia" w:eastAsia="ＭＳ Ｐゴシック" w:hAnsi="Georgia" w:cs="ＭＳ Ｐゴシック"/>
          <w:color w:val="111111"/>
          <w:kern w:val="0"/>
          <w:sz w:val="26"/>
          <w:szCs w:val="26"/>
        </w:rPr>
        <w:t>Abstract</w:t>
      </w:r>
    </w:p>
    <w:p w:rsidR="003F5AB6" w:rsidRPr="003F5AB6" w:rsidRDefault="003F5AB6" w:rsidP="003F5AB6">
      <w:pPr>
        <w:widowControl/>
        <w:jc w:val="left"/>
        <w:rPr>
          <w:rFonts w:ascii="Verdana" w:eastAsia="ＭＳ Ｐゴシック" w:hAnsi="Verdana" w:cs="ＭＳ Ｐゴシック"/>
          <w:color w:val="111111"/>
          <w:kern w:val="0"/>
          <w:sz w:val="17"/>
          <w:szCs w:val="17"/>
        </w:rPr>
      </w:pPr>
    </w:p>
    <w:p w:rsidR="003F5AB6" w:rsidRPr="003F5AB6" w:rsidRDefault="003F5AB6" w:rsidP="003F5AB6">
      <w:pPr>
        <w:widowControl/>
        <w:jc w:val="left"/>
        <w:rPr>
          <w:rFonts w:ascii="Verdana" w:eastAsia="ＭＳ Ｐゴシック" w:hAnsi="Verdana" w:cs="ＭＳ Ｐゴシック"/>
          <w:color w:val="111111"/>
          <w:kern w:val="0"/>
          <w:sz w:val="17"/>
          <w:szCs w:val="17"/>
        </w:rPr>
      </w:pPr>
      <w:r w:rsidRPr="003F5AB6">
        <w:rPr>
          <w:rFonts w:ascii="Verdana" w:eastAsia="ＭＳ Ｐゴシック" w:hAnsi="Verdana" w:cs="ＭＳ Ｐゴシック"/>
          <w:color w:val="111111"/>
          <w:kern w:val="0"/>
          <w:sz w:val="17"/>
          <w:szCs w:val="17"/>
        </w:rPr>
        <w:t>The Coefficient of Variance (</w:t>
      </w:r>
      <w:r w:rsidRPr="003F5AB6">
        <w:rPr>
          <w:rFonts w:ascii="Verdana" w:eastAsia="ＭＳ Ｐゴシック" w:hAnsi="Verdana" w:cs="ＭＳ Ｐゴシック"/>
          <w:color w:val="111111"/>
          <w:kern w:val="0"/>
          <w:sz w:val="17"/>
          <w:szCs w:val="17"/>
          <w:highlight w:val="yellow"/>
        </w:rPr>
        <w:t>mean standard deviation/mean Response time</w:t>
      </w:r>
      <w:r w:rsidRPr="003F5AB6">
        <w:rPr>
          <w:rFonts w:ascii="Verdana" w:eastAsia="ＭＳ Ｐゴシック" w:hAnsi="Verdana" w:cs="ＭＳ Ｐゴシック"/>
          <w:color w:val="111111"/>
          <w:kern w:val="0"/>
          <w:sz w:val="17"/>
          <w:szCs w:val="17"/>
        </w:rPr>
        <w:t xml:space="preserve">) is a measure of </w:t>
      </w:r>
      <w:r w:rsidRPr="003F5AB6">
        <w:rPr>
          <w:rFonts w:ascii="Verdana" w:eastAsia="ＭＳ Ｐゴシック" w:hAnsi="Verdana" w:cs="ＭＳ Ｐゴシック"/>
          <w:color w:val="111111"/>
          <w:kern w:val="0"/>
          <w:sz w:val="17"/>
          <w:szCs w:val="17"/>
          <w:highlight w:val="yellow"/>
        </w:rPr>
        <w:t>response time variability</w:t>
      </w:r>
      <w:r w:rsidRPr="003F5AB6">
        <w:rPr>
          <w:rFonts w:ascii="Verdana" w:eastAsia="ＭＳ Ｐゴシック" w:hAnsi="Verdana" w:cs="ＭＳ Ｐゴシック"/>
          <w:color w:val="111111"/>
          <w:kern w:val="0"/>
          <w:sz w:val="17"/>
          <w:szCs w:val="17"/>
        </w:rPr>
        <w:t xml:space="preserve"> that </w:t>
      </w:r>
      <w:r w:rsidRPr="003F5AB6">
        <w:rPr>
          <w:rFonts w:ascii="Verdana" w:eastAsia="ＭＳ Ｐゴシック" w:hAnsi="Verdana" w:cs="ＭＳ Ｐゴシック"/>
          <w:color w:val="111111"/>
          <w:kern w:val="0"/>
          <w:sz w:val="17"/>
          <w:szCs w:val="17"/>
          <w:highlight w:val="yellow"/>
        </w:rPr>
        <w:t>corrects for differences in mean Response time</w:t>
      </w:r>
      <w:r w:rsidRPr="003F5AB6">
        <w:rPr>
          <w:rFonts w:ascii="Verdana" w:eastAsia="ＭＳ Ｐゴシック" w:hAnsi="Verdana" w:cs="ＭＳ Ｐゴシック"/>
          <w:color w:val="111111"/>
          <w:kern w:val="0"/>
          <w:sz w:val="17"/>
          <w:szCs w:val="17"/>
        </w:rPr>
        <w:t xml:space="preserve"> (RT) (</w:t>
      </w:r>
      <w:proofErr w:type="spellStart"/>
      <w:r w:rsidRPr="003F5AB6">
        <w:rPr>
          <w:rFonts w:ascii="Verdana" w:eastAsia="ＭＳ Ｐゴシック" w:hAnsi="Verdana" w:cs="ＭＳ Ｐゴシック"/>
          <w:color w:val="111111"/>
          <w:kern w:val="0"/>
          <w:sz w:val="17"/>
          <w:szCs w:val="17"/>
        </w:rPr>
        <w:t>Segalowitz</w:t>
      </w:r>
      <w:proofErr w:type="spellEnd"/>
      <w:r w:rsidRPr="003F5AB6">
        <w:rPr>
          <w:rFonts w:ascii="Verdana" w:eastAsia="ＭＳ Ｐゴシック" w:hAnsi="Verdana" w:cs="ＭＳ Ｐゴシック"/>
          <w:color w:val="111111"/>
          <w:kern w:val="0"/>
          <w:sz w:val="17"/>
          <w:szCs w:val="17"/>
        </w:rPr>
        <w:t xml:space="preserve"> &amp; </w:t>
      </w:r>
      <w:proofErr w:type="spellStart"/>
      <w:r w:rsidRPr="003F5AB6">
        <w:rPr>
          <w:rFonts w:ascii="Verdana" w:eastAsia="ＭＳ Ｐゴシック" w:hAnsi="Verdana" w:cs="ＭＳ Ｐゴシック"/>
          <w:color w:val="111111"/>
          <w:kern w:val="0"/>
          <w:sz w:val="17"/>
          <w:szCs w:val="17"/>
        </w:rPr>
        <w:t>Segalowitz</w:t>
      </w:r>
      <w:proofErr w:type="spellEnd"/>
      <w:r w:rsidRPr="003F5AB6">
        <w:rPr>
          <w:rFonts w:ascii="Verdana" w:eastAsia="ＭＳ Ｐゴシック" w:hAnsi="Verdana" w:cs="ＭＳ Ｐゴシック"/>
          <w:color w:val="111111"/>
          <w:kern w:val="0"/>
          <w:sz w:val="17"/>
          <w:szCs w:val="17"/>
        </w:rPr>
        <w:t xml:space="preserve">, 1993). A </w:t>
      </w:r>
      <w:r w:rsidRPr="003F5AB6">
        <w:rPr>
          <w:rFonts w:ascii="Verdana" w:eastAsia="ＭＳ Ｐゴシック" w:hAnsi="Verdana" w:cs="ＭＳ Ｐゴシック"/>
          <w:color w:val="111111"/>
          <w:kern w:val="0"/>
          <w:sz w:val="17"/>
          <w:szCs w:val="17"/>
          <w:highlight w:val="yellow"/>
        </w:rPr>
        <w:t>positive correlation</w:t>
      </w:r>
      <w:r w:rsidRPr="003F5AB6">
        <w:rPr>
          <w:rFonts w:ascii="Verdana" w:eastAsia="ＭＳ Ｐゴシック" w:hAnsi="Verdana" w:cs="ＭＳ Ｐゴシック"/>
          <w:color w:val="111111"/>
          <w:kern w:val="0"/>
          <w:sz w:val="17"/>
          <w:szCs w:val="17"/>
        </w:rPr>
        <w:t xml:space="preserve"> between </w:t>
      </w:r>
      <w:r w:rsidRPr="003F5AB6">
        <w:rPr>
          <w:rFonts w:ascii="Verdana" w:eastAsia="ＭＳ Ｐゴシック" w:hAnsi="Verdana" w:cs="ＭＳ Ｐゴシック"/>
          <w:color w:val="111111"/>
          <w:kern w:val="0"/>
          <w:sz w:val="17"/>
          <w:szCs w:val="17"/>
          <w:highlight w:val="yellow"/>
        </w:rPr>
        <w:t>decreasing mean RTs and CVs (</w:t>
      </w:r>
      <w:proofErr w:type="spellStart"/>
      <w:r w:rsidRPr="003F5AB6">
        <w:rPr>
          <w:rFonts w:ascii="Verdana" w:eastAsia="ＭＳ Ｐゴシック" w:hAnsi="Verdana" w:cs="ＭＳ Ｐゴシック"/>
          <w:color w:val="111111"/>
          <w:kern w:val="0"/>
          <w:sz w:val="17"/>
          <w:szCs w:val="17"/>
          <w:highlight w:val="yellow"/>
        </w:rPr>
        <w:t>rCV</w:t>
      </w:r>
      <w:proofErr w:type="spellEnd"/>
      <w:r w:rsidRPr="003F5AB6">
        <w:rPr>
          <w:rFonts w:ascii="Verdana" w:eastAsia="ＭＳ Ｐゴシック" w:hAnsi="Verdana" w:cs="ＭＳ Ｐゴシック"/>
          <w:color w:val="111111"/>
          <w:kern w:val="0"/>
          <w:sz w:val="17"/>
          <w:szCs w:val="17"/>
          <w:highlight w:val="yellow"/>
        </w:rPr>
        <w:t>-RT)</w:t>
      </w:r>
      <w:r w:rsidRPr="003F5AB6">
        <w:rPr>
          <w:rFonts w:ascii="Verdana" w:eastAsia="ＭＳ Ｐゴシック" w:hAnsi="Verdana" w:cs="ＭＳ Ｐゴシック"/>
          <w:color w:val="111111"/>
          <w:kern w:val="0"/>
          <w:sz w:val="17"/>
          <w:szCs w:val="17"/>
        </w:rPr>
        <w:t xml:space="preserve"> has been proposed as </w:t>
      </w:r>
      <w:r w:rsidRPr="003F5AB6">
        <w:rPr>
          <w:rFonts w:ascii="Verdana" w:eastAsia="ＭＳ Ｐゴシック" w:hAnsi="Verdana" w:cs="ＭＳ Ｐゴシック"/>
          <w:color w:val="111111"/>
          <w:kern w:val="0"/>
          <w:sz w:val="17"/>
          <w:szCs w:val="17"/>
          <w:highlight w:val="yellow"/>
        </w:rPr>
        <w:t>an indicator of L2 automaticity</w:t>
      </w:r>
      <w:r w:rsidRPr="003F5AB6">
        <w:rPr>
          <w:rFonts w:ascii="Verdana" w:eastAsia="ＭＳ Ｐゴシック" w:hAnsi="Verdana" w:cs="ＭＳ Ｐゴシック"/>
          <w:color w:val="111111"/>
          <w:kern w:val="0"/>
          <w:sz w:val="17"/>
          <w:szCs w:val="17"/>
        </w:rPr>
        <w:t xml:space="preserve"> and more generally as an </w:t>
      </w:r>
      <w:r w:rsidRPr="003F5AB6">
        <w:rPr>
          <w:rFonts w:ascii="Verdana" w:eastAsia="ＭＳ Ｐゴシック" w:hAnsi="Verdana" w:cs="ＭＳ Ｐゴシック"/>
          <w:color w:val="111111"/>
          <w:kern w:val="0"/>
          <w:sz w:val="17"/>
          <w:szCs w:val="17"/>
          <w:highlight w:val="yellow"/>
        </w:rPr>
        <w:t>index of processing efficiency</w:t>
      </w:r>
      <w:r w:rsidRPr="003F5AB6">
        <w:rPr>
          <w:rFonts w:ascii="Verdana" w:eastAsia="ＭＳ Ｐゴシック" w:hAnsi="Verdana" w:cs="ＭＳ Ｐゴシック"/>
          <w:color w:val="111111"/>
          <w:kern w:val="0"/>
          <w:sz w:val="17"/>
          <w:szCs w:val="17"/>
        </w:rPr>
        <w:t xml:space="preserve">. The current study evaluates this claim by examining lexical decision performance by individuals from three levels of English proficiency (Intermediate ESL, Advanced ESL and L1 controls) on stimuli from four levels of item familiarity, as defined by frequency of occurrence. A three-phase model of skill development defined by changing </w:t>
      </w:r>
      <w:proofErr w:type="spellStart"/>
      <w:r w:rsidRPr="003F5AB6">
        <w:rPr>
          <w:rFonts w:ascii="Verdana" w:eastAsia="ＭＳ Ｐゴシック" w:hAnsi="Verdana" w:cs="ＭＳ Ｐゴシック"/>
          <w:color w:val="111111"/>
          <w:kern w:val="0"/>
          <w:sz w:val="17"/>
          <w:szCs w:val="17"/>
        </w:rPr>
        <w:t>rCV-RT.values</w:t>
      </w:r>
      <w:proofErr w:type="spellEnd"/>
      <w:r w:rsidRPr="003F5AB6">
        <w:rPr>
          <w:rFonts w:ascii="Verdana" w:eastAsia="ＭＳ Ｐゴシック" w:hAnsi="Verdana" w:cs="ＭＳ Ｐゴシック"/>
          <w:color w:val="111111"/>
          <w:kern w:val="0"/>
          <w:sz w:val="17"/>
          <w:szCs w:val="17"/>
        </w:rPr>
        <w:t xml:space="preserve"> was tested. Results showed that </w:t>
      </w:r>
      <w:r w:rsidRPr="003F5AB6">
        <w:rPr>
          <w:rFonts w:ascii="Verdana" w:eastAsia="ＭＳ Ｐゴシック" w:hAnsi="Verdana" w:cs="ＭＳ Ｐゴシック"/>
          <w:color w:val="111111"/>
          <w:kern w:val="0"/>
          <w:sz w:val="17"/>
          <w:szCs w:val="17"/>
          <w:highlight w:val="yellow"/>
        </w:rPr>
        <w:t>RTs and CVs systematically decreased as a function of increasing proficiency and frequency levels,</w:t>
      </w:r>
      <w:r w:rsidRPr="003F5AB6">
        <w:rPr>
          <w:rFonts w:ascii="Verdana" w:eastAsia="ＭＳ Ｐゴシック" w:hAnsi="Verdana" w:cs="ＭＳ Ｐゴシック"/>
          <w:color w:val="111111"/>
          <w:kern w:val="0"/>
          <w:sz w:val="17"/>
          <w:szCs w:val="17"/>
        </w:rPr>
        <w:t xml:space="preserve"> with the </w:t>
      </w:r>
      <w:proofErr w:type="spellStart"/>
      <w:r w:rsidRPr="003F5AB6">
        <w:rPr>
          <w:rFonts w:ascii="Verdana" w:eastAsia="ＭＳ Ｐゴシック" w:hAnsi="Verdana" w:cs="ＭＳ Ｐゴシック"/>
          <w:color w:val="111111"/>
          <w:kern w:val="0"/>
          <w:sz w:val="17"/>
          <w:szCs w:val="17"/>
        </w:rPr>
        <w:t>rCV</w:t>
      </w:r>
      <w:proofErr w:type="spellEnd"/>
      <w:r w:rsidRPr="003F5AB6">
        <w:rPr>
          <w:rFonts w:ascii="Verdana" w:eastAsia="ＭＳ Ｐゴシック" w:hAnsi="Verdana" w:cs="ＭＳ Ｐゴシック"/>
          <w:color w:val="111111"/>
          <w:kern w:val="0"/>
          <w:sz w:val="17"/>
          <w:szCs w:val="17"/>
        </w:rPr>
        <w:t xml:space="preserve">-RT serving as a </w:t>
      </w:r>
      <w:r w:rsidRPr="003F5AB6">
        <w:rPr>
          <w:rFonts w:ascii="Verdana" w:eastAsia="ＭＳ Ｐゴシック" w:hAnsi="Verdana" w:cs="ＭＳ Ｐゴシック"/>
          <w:color w:val="111111"/>
          <w:kern w:val="0"/>
          <w:sz w:val="17"/>
          <w:szCs w:val="17"/>
          <w:highlight w:val="yellow"/>
        </w:rPr>
        <w:t>stable indicator of individual differences</w:t>
      </w:r>
      <w:r w:rsidRPr="003F5AB6">
        <w:rPr>
          <w:rFonts w:ascii="Verdana" w:eastAsia="ＭＳ Ｐゴシック" w:hAnsi="Verdana" w:cs="ＭＳ Ｐゴシック"/>
          <w:color w:val="111111"/>
          <w:kern w:val="0"/>
          <w:sz w:val="17"/>
          <w:szCs w:val="17"/>
        </w:rPr>
        <w:t xml:space="preserve"> in lexical decision performance. The </w:t>
      </w:r>
      <w:proofErr w:type="spellStart"/>
      <w:r w:rsidRPr="003F5AB6">
        <w:rPr>
          <w:rFonts w:ascii="Verdana" w:eastAsia="ＭＳ Ｐゴシック" w:hAnsi="Verdana" w:cs="ＭＳ Ｐゴシック"/>
          <w:color w:val="111111"/>
          <w:kern w:val="0"/>
          <w:sz w:val="17"/>
          <w:szCs w:val="17"/>
        </w:rPr>
        <w:t>rCV</w:t>
      </w:r>
      <w:proofErr w:type="spellEnd"/>
      <w:r w:rsidRPr="003F5AB6">
        <w:rPr>
          <w:rFonts w:ascii="Verdana" w:eastAsia="ＭＳ Ｐゴシック" w:hAnsi="Verdana" w:cs="ＭＳ Ｐゴシック"/>
          <w:color w:val="111111"/>
          <w:kern w:val="0"/>
          <w:sz w:val="17"/>
          <w:szCs w:val="17"/>
        </w:rPr>
        <w:t>-RT and automaticity/restructuring account is discussed in light of the findings. The CV is also evaluated as a more general quantitative index of processing efficiency in the L2.</w:t>
      </w:r>
    </w:p>
    <w:p w:rsidR="003F5AB6" w:rsidRPr="003F5AB6" w:rsidRDefault="003F5AB6" w:rsidP="003F5AB6">
      <w:pPr>
        <w:widowControl/>
        <w:jc w:val="left"/>
        <w:rPr>
          <w:rFonts w:ascii="Verdana" w:eastAsia="ＭＳ Ｐゴシック" w:hAnsi="Verdana" w:cs="ＭＳ Ｐゴシック"/>
          <w:color w:val="111111"/>
          <w:kern w:val="0"/>
          <w:sz w:val="17"/>
          <w:szCs w:val="17"/>
        </w:rPr>
      </w:pPr>
    </w:p>
    <w:p w:rsidR="003F5AB6" w:rsidRPr="003F5AB6" w:rsidRDefault="003F5AB6" w:rsidP="003F5AB6">
      <w:pPr>
        <w:widowControl/>
        <w:spacing w:before="180" w:after="60"/>
        <w:ind w:right="240"/>
        <w:jc w:val="left"/>
        <w:outlineLvl w:val="4"/>
        <w:rPr>
          <w:rFonts w:ascii="Georgia" w:eastAsia="ＭＳ Ｐゴシック" w:hAnsi="Georgia" w:cs="ＭＳ Ｐゴシック"/>
          <w:color w:val="111111"/>
          <w:kern w:val="0"/>
          <w:sz w:val="26"/>
          <w:szCs w:val="26"/>
        </w:rPr>
      </w:pPr>
      <w:r w:rsidRPr="003F5AB6">
        <w:rPr>
          <w:rFonts w:ascii="Georgia" w:eastAsia="ＭＳ Ｐゴシック" w:hAnsi="Georgia" w:cs="ＭＳ Ｐゴシック"/>
          <w:color w:val="111111"/>
          <w:kern w:val="0"/>
          <w:sz w:val="26"/>
          <w:szCs w:val="26"/>
        </w:rPr>
        <w:t>Keywords</w:t>
      </w:r>
    </w:p>
    <w:p w:rsidR="003F5AB6" w:rsidRPr="003F5AB6" w:rsidRDefault="003F5AB6" w:rsidP="003F5AB6">
      <w:pPr>
        <w:widowControl/>
        <w:jc w:val="left"/>
        <w:rPr>
          <w:rFonts w:ascii="Verdana" w:eastAsia="ＭＳ Ｐゴシック" w:hAnsi="Verdana" w:cs="ＭＳ Ｐゴシック"/>
          <w:color w:val="111111"/>
          <w:kern w:val="0"/>
          <w:sz w:val="17"/>
          <w:szCs w:val="17"/>
        </w:rPr>
      </w:pPr>
    </w:p>
    <w:p w:rsidR="003F5AB6" w:rsidRPr="003F5AB6" w:rsidRDefault="003F5AB6" w:rsidP="003F5AB6">
      <w:pPr>
        <w:widowControl/>
        <w:jc w:val="left"/>
        <w:rPr>
          <w:rFonts w:ascii="Verdana" w:eastAsia="ＭＳ Ｐゴシック" w:hAnsi="Verdana" w:cs="ＭＳ Ｐゴシック"/>
          <w:color w:val="111111"/>
          <w:kern w:val="0"/>
          <w:sz w:val="17"/>
          <w:szCs w:val="17"/>
        </w:rPr>
      </w:pPr>
      <w:proofErr w:type="gramStart"/>
      <w:r w:rsidRPr="003F5AB6">
        <w:rPr>
          <w:rFonts w:ascii="Verdana" w:eastAsia="ＭＳ Ｐゴシック" w:hAnsi="Verdana" w:cs="ＭＳ Ｐゴシック"/>
          <w:color w:val="111111"/>
          <w:kern w:val="0"/>
          <w:sz w:val="17"/>
          <w:szCs w:val="17"/>
        </w:rPr>
        <w:t>automaticity</w:t>
      </w:r>
      <w:proofErr w:type="gramEnd"/>
      <w:r w:rsidRPr="003F5AB6">
        <w:rPr>
          <w:rFonts w:ascii="Verdana" w:eastAsia="ＭＳ Ｐゴシック" w:hAnsi="Verdana" w:cs="ＭＳ Ｐゴシック"/>
          <w:color w:val="111111"/>
          <w:kern w:val="0"/>
          <w:sz w:val="17"/>
          <w:szCs w:val="17"/>
        </w:rPr>
        <w:t>; coefficient of variance; processing efficiency proficiency; second language processing;</w:t>
      </w:r>
    </w:p>
    <w:p w:rsidR="003F5AB6" w:rsidRPr="003F5AB6" w:rsidRDefault="003F5AB6" w:rsidP="003F5AB6">
      <w:pPr>
        <w:widowControl/>
        <w:jc w:val="left"/>
        <w:rPr>
          <w:rFonts w:ascii="Verdana" w:eastAsia="ＭＳ Ｐゴシック" w:hAnsi="Verdana" w:cs="ＭＳ Ｐゴシック"/>
          <w:color w:val="111111"/>
          <w:kern w:val="0"/>
          <w:sz w:val="17"/>
          <w:szCs w:val="17"/>
        </w:rPr>
      </w:pPr>
    </w:p>
    <w:p w:rsidR="003F5AB6" w:rsidRPr="003F5AB6" w:rsidRDefault="003F5AB6" w:rsidP="003F5AB6">
      <w:pPr>
        <w:widowControl/>
        <w:jc w:val="left"/>
        <w:rPr>
          <w:rFonts w:ascii="Verdana" w:eastAsia="ＭＳ Ｐゴシック" w:hAnsi="Verdana" w:cs="ＭＳ Ｐゴシック"/>
          <w:color w:val="111111"/>
          <w:kern w:val="0"/>
          <w:sz w:val="17"/>
          <w:szCs w:val="17"/>
        </w:rPr>
      </w:pPr>
      <w:r w:rsidRPr="003F5AB6">
        <w:rPr>
          <w:rFonts w:ascii="Verdana" w:eastAsia="ＭＳ Ｐゴシック" w:hAnsi="Verdana" w:cs="ＭＳ Ｐゴシック"/>
          <w:color w:val="111111"/>
          <w:kern w:val="0"/>
          <w:sz w:val="17"/>
          <w:szCs w:val="17"/>
        </w:rPr>
        <w:t xml:space="preserve">Full Text: </w:t>
      </w:r>
      <w:hyperlink r:id="rId10" w:tgtFrame="_parent" w:history="1">
        <w:r w:rsidRPr="003F5AB6">
          <w:rPr>
            <w:rFonts w:ascii="Verdana" w:eastAsia="ＭＳ Ｐゴシック" w:hAnsi="Verdana" w:cs="ＭＳ Ｐゴシック"/>
            <w:caps/>
            <w:color w:val="337755"/>
            <w:kern w:val="0"/>
            <w:sz w:val="14"/>
            <w:u w:val="single"/>
          </w:rPr>
          <w:t>Full text</w:t>
        </w:r>
      </w:hyperlink>
    </w:p>
    <w:p w:rsidR="00CB2907" w:rsidRDefault="00CB2907"/>
    <w:sectPr w:rsidR="00CB2907" w:rsidSect="00CB290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94E" w:rsidRDefault="0064494E" w:rsidP="00E55B8D">
      <w:r>
        <w:separator/>
      </w:r>
    </w:p>
  </w:endnote>
  <w:endnote w:type="continuationSeparator" w:id="0">
    <w:p w:rsidR="0064494E" w:rsidRDefault="0064494E" w:rsidP="00E5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94E" w:rsidRDefault="0064494E" w:rsidP="00E55B8D">
      <w:r>
        <w:separator/>
      </w:r>
    </w:p>
  </w:footnote>
  <w:footnote w:type="continuationSeparator" w:id="0">
    <w:p w:rsidR="0064494E" w:rsidRDefault="0064494E" w:rsidP="00E55B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6"/>
    <w:rsid w:val="003F5AB6"/>
    <w:rsid w:val="00423E5B"/>
    <w:rsid w:val="0064494E"/>
    <w:rsid w:val="007B6397"/>
    <w:rsid w:val="00CB2907"/>
    <w:rsid w:val="00E10B8C"/>
    <w:rsid w:val="00E5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F5AB6"/>
    <w:rPr>
      <w:color w:val="337755"/>
      <w:u w:val="single"/>
    </w:rPr>
  </w:style>
  <w:style w:type="character" w:styleId="a4">
    <w:name w:val="Emphasis"/>
    <w:basedOn w:val="a0"/>
    <w:uiPriority w:val="20"/>
    <w:qFormat/>
    <w:rsid w:val="003F5AB6"/>
    <w:rPr>
      <w:i/>
      <w:iCs/>
    </w:rPr>
  </w:style>
  <w:style w:type="paragraph" w:styleId="a5">
    <w:name w:val="header"/>
    <w:basedOn w:val="a"/>
    <w:link w:val="a6"/>
    <w:uiPriority w:val="99"/>
    <w:unhideWhenUsed/>
    <w:rsid w:val="00E55B8D"/>
    <w:pPr>
      <w:tabs>
        <w:tab w:val="center" w:pos="4252"/>
        <w:tab w:val="right" w:pos="8504"/>
      </w:tabs>
      <w:snapToGrid w:val="0"/>
    </w:pPr>
  </w:style>
  <w:style w:type="character" w:customStyle="1" w:styleId="a6">
    <w:name w:val="ヘッダー (文字)"/>
    <w:basedOn w:val="a0"/>
    <w:link w:val="a5"/>
    <w:uiPriority w:val="99"/>
    <w:rsid w:val="00E55B8D"/>
  </w:style>
  <w:style w:type="paragraph" w:styleId="a7">
    <w:name w:val="footer"/>
    <w:basedOn w:val="a"/>
    <w:link w:val="a8"/>
    <w:uiPriority w:val="99"/>
    <w:unhideWhenUsed/>
    <w:rsid w:val="00E55B8D"/>
    <w:pPr>
      <w:tabs>
        <w:tab w:val="center" w:pos="4252"/>
        <w:tab w:val="right" w:pos="8504"/>
      </w:tabs>
      <w:snapToGrid w:val="0"/>
    </w:pPr>
  </w:style>
  <w:style w:type="character" w:customStyle="1" w:styleId="a8">
    <w:name w:val="フッター (文字)"/>
    <w:basedOn w:val="a0"/>
    <w:link w:val="a7"/>
    <w:uiPriority w:val="99"/>
    <w:rsid w:val="00E55B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F5AB6"/>
    <w:rPr>
      <w:color w:val="337755"/>
      <w:u w:val="single"/>
    </w:rPr>
  </w:style>
  <w:style w:type="character" w:styleId="a4">
    <w:name w:val="Emphasis"/>
    <w:basedOn w:val="a0"/>
    <w:uiPriority w:val="20"/>
    <w:qFormat/>
    <w:rsid w:val="003F5AB6"/>
    <w:rPr>
      <w:i/>
      <w:iCs/>
    </w:rPr>
  </w:style>
  <w:style w:type="paragraph" w:styleId="a5">
    <w:name w:val="header"/>
    <w:basedOn w:val="a"/>
    <w:link w:val="a6"/>
    <w:uiPriority w:val="99"/>
    <w:unhideWhenUsed/>
    <w:rsid w:val="00E55B8D"/>
    <w:pPr>
      <w:tabs>
        <w:tab w:val="center" w:pos="4252"/>
        <w:tab w:val="right" w:pos="8504"/>
      </w:tabs>
      <w:snapToGrid w:val="0"/>
    </w:pPr>
  </w:style>
  <w:style w:type="character" w:customStyle="1" w:styleId="a6">
    <w:name w:val="ヘッダー (文字)"/>
    <w:basedOn w:val="a0"/>
    <w:link w:val="a5"/>
    <w:uiPriority w:val="99"/>
    <w:rsid w:val="00E55B8D"/>
  </w:style>
  <w:style w:type="paragraph" w:styleId="a7">
    <w:name w:val="footer"/>
    <w:basedOn w:val="a"/>
    <w:link w:val="a8"/>
    <w:uiPriority w:val="99"/>
    <w:unhideWhenUsed/>
    <w:rsid w:val="00E55B8D"/>
    <w:pPr>
      <w:tabs>
        <w:tab w:val="center" w:pos="4252"/>
        <w:tab w:val="right" w:pos="8504"/>
      </w:tabs>
      <w:snapToGrid w:val="0"/>
    </w:pPr>
  </w:style>
  <w:style w:type="character" w:customStyle="1" w:styleId="a8">
    <w:name w:val="フッター (文字)"/>
    <w:basedOn w:val="a0"/>
    <w:link w:val="a7"/>
    <w:uiPriority w:val="99"/>
    <w:rsid w:val="00E55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01550">
      <w:bodyDiv w:val="1"/>
      <w:marLeft w:val="0"/>
      <w:marRight w:val="0"/>
      <w:marTop w:val="0"/>
      <w:marBottom w:val="0"/>
      <w:divBdr>
        <w:top w:val="none" w:sz="0" w:space="0" w:color="auto"/>
        <w:left w:val="none" w:sz="0" w:space="0" w:color="auto"/>
        <w:bottom w:val="none" w:sz="0" w:space="0" w:color="auto"/>
        <w:right w:val="none" w:sz="0" w:space="0" w:color="auto"/>
      </w:divBdr>
      <w:divsChild>
        <w:div w:id="892738992">
          <w:marLeft w:val="1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brary.uq.edu.au/ojs/index.php/uqwpl/issue/view/6" TargetMode="External"/><Relationship Id="rId3" Type="http://schemas.openxmlformats.org/officeDocument/2006/relationships/settings" Target="settings.xml"/><Relationship Id="rId7" Type="http://schemas.openxmlformats.org/officeDocument/2006/relationships/hyperlink" Target="https://www.library.uq.edu.au/ojs/index.php/uqwpl/inde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brary.uq.edu.au/ojs/index.php/uqwpl/article/view/12/14" TargetMode="External"/><Relationship Id="rId4" Type="http://schemas.openxmlformats.org/officeDocument/2006/relationships/webSettings" Target="webSettings.xml"/><Relationship Id="rId9" Type="http://schemas.openxmlformats.org/officeDocument/2006/relationships/hyperlink" Target="https://www.library.uq.edu.au/ojs/index.php/uqwpl/article/view/12/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dc:creator>
  <cp:lastModifiedBy>InsYY</cp:lastModifiedBy>
  <cp:revision>2</cp:revision>
  <dcterms:created xsi:type="dcterms:W3CDTF">2013-06-27T16:31:00Z</dcterms:created>
  <dcterms:modified xsi:type="dcterms:W3CDTF">2013-06-27T16:31:00Z</dcterms:modified>
</cp:coreProperties>
</file>