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9EB42">
      <w:pPr>
        <w:spacing w:after="120"/>
        <w:jc w:val="center"/>
      </w:pPr>
      <w:r>
        <w:rPr>
          <w:rFonts w:ascii="黑体" w:hAnsi="黑体" w:eastAsia="黑体"/>
          <w:b/>
          <w:sz w:val="44"/>
        </w:rPr>
        <w:t>全球校园人工智能算法精英大赛</w:t>
      </w:r>
    </w:p>
    <w:p w14:paraId="7514700D">
      <w:pPr>
        <w:spacing w:after="400"/>
        <w:jc w:val="center"/>
      </w:pPr>
      <w:r>
        <w:rPr>
          <w:rFonts w:ascii="黑体" w:hAnsi="黑体" w:eastAsia="黑体"/>
          <w:b/>
          <w:sz w:val="44"/>
        </w:rPr>
        <w:t>参 赛 方 案</w:t>
      </w:r>
    </w:p>
    <w:p w14:paraId="7B61F2FA">
      <w:pPr>
        <w:spacing w:before="360" w:after="160" w:line="360" w:lineRule="auto"/>
      </w:pPr>
      <w:r>
        <w:rPr>
          <w:rFonts w:ascii="黑体" w:hAnsi="黑体" w:eastAsia="黑体"/>
          <w:b/>
          <w:sz w:val="32"/>
        </w:rPr>
        <w:t>一、项目概述</w:t>
      </w:r>
    </w:p>
    <w:p w14:paraId="39A2ED3D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1.1 项目名称</w:t>
      </w:r>
    </w:p>
    <w:p w14:paraId="7CC68D10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面向边缘部署的轻量化目标检测算法：基于知识蒸馏与结构重参数化的高效推理方案</w:t>
      </w:r>
    </w:p>
    <w:p w14:paraId="0CC8C454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1.2 赛题方向定位</w:t>
      </w:r>
    </w:p>
    <w:p w14:paraId="144A3E7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新兴技术领域算法模型创新 — 边缘计算轻量化算法</w:t>
      </w:r>
    </w:p>
    <w:p w14:paraId="19A0FE77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1.3 核心问题</w:t>
      </w:r>
    </w:p>
    <w:p w14:paraId="0907F57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深度学习目标检测模型（如YOLOv8）精度高但计算量大，难以在资源受限的边缘设备（无人机、工业摄像头、移动终端）上实时部署。现有轻量化方案往往精度损失严重，或推理加速不够显著。</w:t>
      </w:r>
    </w:p>
    <w:p w14:paraId="17C697DE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1.4 解决思路</w:t>
      </w:r>
    </w:p>
    <w:p w14:paraId="647211C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采用"</w:t>
      </w:r>
      <w:r>
        <w:rPr>
          <w:rFonts w:ascii="宋体" w:hAnsi="宋体" w:eastAsia="宋体"/>
          <w:b/>
          <w:sz w:val="24"/>
        </w:rPr>
        <w:t>知识蒸馏+结构重参数化+量化</w:t>
      </w:r>
      <w:r>
        <w:rPr>
          <w:rFonts w:ascii="宋体" w:hAnsi="宋体" w:eastAsia="宋体"/>
          <w:b w:val="0"/>
          <w:sz w:val="24"/>
        </w:rPr>
        <w:t>"三阶段联合优化方案，在保持精度的前提下大幅降低模型复杂度，实现边缘设备上的实时高效推理。</w:t>
      </w:r>
    </w:p>
    <w:p w14:paraId="3CB2F7E5">
      <w:pPr>
        <w:spacing w:before="360" w:after="160" w:line="360" w:lineRule="auto"/>
      </w:pPr>
      <w:r>
        <w:rPr>
          <w:rFonts w:ascii="黑体" w:hAnsi="黑体" w:eastAsia="黑体"/>
          <w:b/>
          <w:sz w:val="32"/>
        </w:rPr>
        <w:t>二、技术方案</w:t>
      </w:r>
    </w:p>
    <w:p w14:paraId="5AF4612A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2.1 算法原理与架构</w:t>
      </w:r>
    </w:p>
    <w:p w14:paraId="26A7FAF2">
      <w:pPr>
        <w:spacing w:line="360" w:lineRule="auto"/>
      </w:pPr>
      <w:r>
        <w:rPr>
          <w:rFonts w:ascii="宋体" w:hAnsi="宋体" w:eastAsia="宋体"/>
          <w:b/>
          <w:sz w:val="24"/>
        </w:rPr>
        <w:t>整体技术路线：</w:t>
      </w:r>
    </w:p>
    <w:p w14:paraId="310734C5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大模型（YOLOv8-L）→ 知识蒸馏 → 轻量学生模型（YOLOv8-N改进版）→ 结构重参数化 → 推理加速 → INT8量化 → 边缘部署</w:t>
      </w:r>
    </w:p>
    <w:p w14:paraId="05F52852">
      <w:pPr>
        <w:spacing w:line="360" w:lineRule="auto"/>
      </w:pPr>
      <w:r>
        <w:rPr>
          <w:rFonts w:ascii="宋体" w:hAnsi="宋体" w:eastAsia="宋体"/>
          <w:b/>
          <w:sz w:val="24"/>
        </w:rPr>
        <w:t>阶段一：知识蒸馏</w:t>
      </w:r>
    </w:p>
    <w:p w14:paraId="3559A3AA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教师：YOLOv8-L（43.7M参数，mAP@0.5:0.95=52.9%）</w:t>
      </w:r>
    </w:p>
    <w:p w14:paraId="02192CA6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学生：改进的轻量网络（目标：&lt;5M参数，mAP损失&lt;2%）</w:t>
      </w:r>
    </w:p>
    <w:p w14:paraId="697150F7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蒸馏策略：</w:t>
      </w:r>
    </w:p>
    <w:p w14:paraId="4508157F">
      <w:pPr>
        <w:spacing w:line="360" w:lineRule="auto"/>
        <w:ind w:left="839" w:hanging="181"/>
      </w:pPr>
      <w:r>
        <w:rPr>
          <w:rFonts w:ascii="宋体" w:hAnsi="宋体" w:eastAsia="宋体"/>
          <w:b w:val="0"/>
          <w:sz w:val="24"/>
        </w:rPr>
        <w:t>◦ Feature-level蒸馏：中间特征图对齐，用CWD（Channel-Wise Distillation）损失</w:t>
      </w:r>
    </w:p>
    <w:p w14:paraId="31A6A55F">
      <w:pPr>
        <w:spacing w:line="360" w:lineRule="auto"/>
        <w:ind w:left="839" w:hanging="181"/>
      </w:pPr>
      <w:r>
        <w:rPr>
          <w:rFonts w:ascii="宋体" w:hAnsi="宋体" w:eastAsia="宋体"/>
          <w:b w:val="0"/>
          <w:sz w:val="24"/>
        </w:rPr>
        <w:t>◦ Logit-level蒸馏：输出层软标签对齐，用KL散度损失</w:t>
      </w:r>
    </w:p>
    <w:p w14:paraId="712AFCF8">
      <w:pPr>
        <w:spacing w:line="360" w:lineRule="auto"/>
        <w:ind w:left="839" w:hanging="181"/>
      </w:pPr>
      <w:r>
        <w:rPr>
          <w:rFonts w:ascii="宋体" w:hAnsi="宋体" w:eastAsia="宋体"/>
          <w:b w:val="0"/>
          <w:sz w:val="24"/>
        </w:rPr>
        <w:t>◦ 关系蒸馏：样本间关系保持，提升学生模型判别能力</w:t>
      </w:r>
    </w:p>
    <w:p w14:paraId="63EDAAD3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创新点：自适应蒸馏权重机制，根据不同检测头和特征层自动调整蒸馏强度</w:t>
      </w:r>
    </w:p>
    <w:p w14:paraId="0AD90762">
      <w:pPr>
        <w:spacing w:line="360" w:lineRule="auto"/>
      </w:pPr>
      <w:r>
        <w:rPr>
          <w:rFonts w:ascii="宋体" w:hAnsi="宋体" w:eastAsia="宋体"/>
          <w:b/>
          <w:sz w:val="24"/>
        </w:rPr>
        <w:t>阶段二：结构重参数化</w:t>
      </w:r>
    </w:p>
    <w:p w14:paraId="61500321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训练时：使用多分支结构（1×1卷积+3×3卷积+identity映射），增强训练表达能力</w:t>
      </w:r>
    </w:p>
    <w:p w14:paraId="45D9A828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推理时：等效转换为单个3×3卷积，零额外推理开销</w:t>
      </w:r>
    </w:p>
    <w:p w14:paraId="6144CF87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创新点：针对检测头设计专用重参数化模块，兼顾Neck和Head的精度与速度</w:t>
      </w:r>
    </w:p>
    <w:p w14:paraId="3A3E8057">
      <w:pPr>
        <w:spacing w:line="360" w:lineRule="auto"/>
      </w:pPr>
      <w:r>
        <w:rPr>
          <w:rFonts w:ascii="宋体" w:hAnsi="宋体" w:eastAsia="宋体"/>
          <w:b/>
          <w:sz w:val="24"/>
        </w:rPr>
        <w:t>阶段三：INT8量化</w:t>
      </w:r>
    </w:p>
    <w:p w14:paraId="29EB424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训练后量化（PTQ）：快速部署，精度损失小</w:t>
      </w:r>
    </w:p>
    <w:p w14:paraId="19A7DCB6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量化感知训练（QAT）：对精度敏感层做微调补偿</w:t>
      </w:r>
    </w:p>
    <w:p w14:paraId="4D93300B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创新点：混合精度量化策略，检测头用FP16，骨干网络用INT8，精度-速度最优平衡</w:t>
      </w:r>
    </w:p>
    <w:p w14:paraId="5BF0F305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2.2 关键技术与创新点</w:t>
      </w:r>
    </w:p>
    <w:p w14:paraId="5FDDCAAB">
      <w:pPr>
        <w:spacing w:line="360" w:lineRule="auto"/>
      </w:pPr>
      <w:r>
        <w:rPr>
          <w:rFonts w:ascii="宋体" w:hAnsi="宋体" w:eastAsia="宋体"/>
          <w:b/>
          <w:sz w:val="24"/>
        </w:rPr>
        <w:t>创新点1：自适应多粒度蒸馏策略</w:t>
      </w:r>
    </w:p>
    <w:p w14:paraId="294FDCA3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现有蒸馏方法对不同层用相同权重，忽略了各层蒸馏难度差异</w:t>
      </w:r>
    </w:p>
    <w:p w14:paraId="07F4E8E7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本方案设计自适应权重：根据教师-学生特征图相似度动态调整蒸馏强度</w:t>
      </w:r>
    </w:p>
    <w:p w14:paraId="53D08BD4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相似度低的层加大蒸馏力度，相似度高的层减少蒸馏干扰</w:t>
      </w:r>
    </w:p>
    <w:p w14:paraId="70DCF70B">
      <w:pPr>
        <w:spacing w:line="360" w:lineRule="auto"/>
      </w:pPr>
      <w:r>
        <w:rPr>
          <w:rFonts w:ascii="宋体" w:hAnsi="宋体" w:eastAsia="宋体"/>
          <w:b/>
          <w:sz w:val="24"/>
        </w:rPr>
        <w:t>创新点2：检测头专用重参数化</w:t>
      </w:r>
    </w:p>
    <w:p w14:paraId="51D0D4DB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现有重参数化主要针对骨干网络，对检测头关注不足</w:t>
      </w:r>
    </w:p>
    <w:p w14:paraId="5D9A5A81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本方案在检测头中引入可变形卷积重参数化，增强多尺度目标感知能力</w:t>
      </w:r>
    </w:p>
    <w:p w14:paraId="103760C2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推理时等效转换为标准卷积，零额外开销</w:t>
      </w:r>
    </w:p>
    <w:p w14:paraId="372040E5">
      <w:pPr>
        <w:spacing w:line="360" w:lineRule="auto"/>
      </w:pPr>
      <w:r>
        <w:rPr>
          <w:rFonts w:ascii="宋体" w:hAnsi="宋体" w:eastAsia="宋体"/>
          <w:b/>
          <w:sz w:val="24"/>
        </w:rPr>
        <w:t>创新点3：混合精度量化策略</w:t>
      </w:r>
    </w:p>
    <w:p w14:paraId="3CCA4DDF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传统INT8量化对检测头精度损失较大</w:t>
      </w:r>
    </w:p>
    <w:p w14:paraId="4CEACA33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本方案根据各层灵敏度分析，差异化选择量化精度</w:t>
      </w:r>
    </w:p>
    <w:p w14:paraId="5785EBF4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骨干网络INT8（加速明显），检测头FP16（保精度），PAN Neck部分INT8</w:t>
      </w:r>
    </w:p>
    <w:p w14:paraId="4AF6C788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2.3 模型训练与优化</w:t>
      </w:r>
    </w:p>
    <w:p w14:paraId="7A9A5152">
      <w:pPr>
        <w:spacing w:line="360" w:lineRule="auto"/>
      </w:pPr>
      <w:r>
        <w:rPr>
          <w:rFonts w:ascii="宋体" w:hAnsi="宋体" w:eastAsia="宋体"/>
          <w:b/>
          <w:sz w:val="24"/>
        </w:rPr>
        <w:t>数据集：</w:t>
      </w:r>
    </w:p>
    <w:p w14:paraId="68C2215D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主数据集：MS COCO 2017（118K训练图，5K验证图）</w:t>
      </w:r>
    </w:p>
    <w:p w14:paraId="12005A8E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辅助验证：PASCAL VOC 2007+2012（跨数据集泛化性验证）</w:t>
      </w:r>
    </w:p>
    <w:p w14:paraId="59C51BFB">
      <w:pPr>
        <w:spacing w:line="360" w:lineRule="auto"/>
      </w:pPr>
      <w:r>
        <w:rPr>
          <w:rFonts w:ascii="宋体" w:hAnsi="宋体" w:eastAsia="宋体"/>
          <w:b/>
          <w:sz w:val="24"/>
        </w:rPr>
        <w:t>训练策略：</w:t>
      </w:r>
    </w:p>
    <w:p w14:paraId="7C8E9A3F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教师模型：YOLOv8-L，预训练权重直接使用</w:t>
      </w:r>
    </w:p>
    <w:p w14:paraId="66184869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学生模型训练：</w:t>
      </w:r>
    </w:p>
    <w:p w14:paraId="23855EF4">
      <w:pPr>
        <w:spacing w:line="360" w:lineRule="auto"/>
        <w:ind w:left="839" w:hanging="181"/>
      </w:pPr>
      <w:r>
        <w:rPr>
          <w:rFonts w:ascii="宋体" w:hAnsi="宋体" w:eastAsia="宋体"/>
          <w:b w:val="0"/>
          <w:sz w:val="24"/>
        </w:rPr>
        <w:t>◦ 第一阶段：从零训练学生网络100 epochs</w:t>
      </w:r>
    </w:p>
    <w:p w14:paraId="06CA307A">
      <w:pPr>
        <w:spacing w:line="360" w:lineRule="auto"/>
        <w:ind w:left="839" w:hanging="181"/>
      </w:pPr>
      <w:r>
        <w:rPr>
          <w:rFonts w:ascii="宋体" w:hAnsi="宋体" w:eastAsia="宋体"/>
          <w:b w:val="0"/>
          <w:sz w:val="24"/>
        </w:rPr>
        <w:t>◦ 第二阶段：加入知识蒸馏微调50 epochs</w:t>
      </w:r>
    </w:p>
    <w:p w14:paraId="43F78A69">
      <w:pPr>
        <w:spacing w:line="360" w:lineRule="auto"/>
        <w:ind w:left="839" w:hanging="181"/>
      </w:pPr>
      <w:r>
        <w:rPr>
          <w:rFonts w:ascii="宋体" w:hAnsi="宋体" w:eastAsia="宋体"/>
          <w:b w:val="0"/>
          <w:sz w:val="24"/>
        </w:rPr>
        <w:t>◦ 第三阶段：结构重参数化后重训练20 epochs</w:t>
      </w:r>
    </w:p>
    <w:p w14:paraId="0557C2C6">
      <w:pPr>
        <w:spacing w:line="360" w:lineRule="auto"/>
        <w:ind w:left="839" w:hanging="181"/>
      </w:pPr>
      <w:r>
        <w:rPr>
          <w:rFonts w:ascii="宋体" w:hAnsi="宋体" w:eastAsia="宋体"/>
          <w:b w:val="0"/>
          <w:sz w:val="24"/>
        </w:rPr>
        <w:t>◦ 第四阶段：量化感知训练10 epochs</w:t>
      </w:r>
    </w:p>
    <w:p w14:paraId="132B4066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优化器：SGD with cosine annealing，初始lr=0.01</w:t>
      </w:r>
    </w:p>
    <w:p w14:paraId="667E306F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数据增强：Mosaic、MixUp、随机翻转缩放</w:t>
      </w:r>
    </w:p>
    <w:p w14:paraId="6302ECD2">
      <w:pPr>
        <w:spacing w:before="360" w:after="160" w:line="360" w:lineRule="auto"/>
      </w:pPr>
      <w:r>
        <w:rPr>
          <w:rFonts w:ascii="黑体" w:hAnsi="黑体" w:eastAsia="黑体"/>
          <w:b/>
          <w:sz w:val="32"/>
        </w:rPr>
        <w:t>三、实验验证与应用</w:t>
      </w:r>
    </w:p>
    <w:p w14:paraId="4D1D66D9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3.1 实验环境</w:t>
      </w:r>
    </w:p>
    <w:p w14:paraId="0D1ACE80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训练：三人分布式协作环境——成员A：GTX 1080 Ti（Pascal sm_61，11GB显存，AMP须关闭）；成员B/C：各自 GPU 配置（RTX 3090 / A100 等）；PyTorch 2.0+</w:t>
      </w:r>
    </w:p>
    <w:p w14:paraId="2AA6ABBD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边缘部署验证：NVIDIA Jetson Xavier NX（边缘AI芯片代表）</w:t>
      </w:r>
    </w:p>
    <w:p w14:paraId="4C6E33D9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推理框架：TensorRT 8.x（量化部署）、ONNX Runtime（跨平台）</w:t>
      </w:r>
    </w:p>
    <w:p w14:paraId="4D1BFB87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3.2 对比算法</w:t>
      </w:r>
    </w:p>
    <w:p w14:paraId="7F950500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YOLOv8-N（官方轻量版）</w:t>
      </w:r>
    </w:p>
    <w:p w14:paraId="36864D27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YOLOv8-S（小模型基线）</w:t>
      </w:r>
    </w:p>
    <w:p w14:paraId="66366255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YOLOv5-N、YOLOv5-S（前代对比）</w:t>
      </w:r>
    </w:p>
    <w:p w14:paraId="4B46123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MobileNetV3-SSD（经典轻量方案）</w:t>
      </w:r>
    </w:p>
    <w:p w14:paraId="171392C3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PP-YOLOE-S（国产轻量方案）</w:t>
      </w:r>
    </w:p>
    <w:p w14:paraId="2DEC3AC8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3.3 评估指标</w:t>
      </w:r>
    </w:p>
    <w:p w14:paraId="4B6E082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精度：mAP@0.5、mAP@0.5:0.95</w:t>
      </w:r>
    </w:p>
    <w:p w14:paraId="76F2BAE8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效率：参数量(M)、FLOPs(G)、推理延迟(ms)、FPS</w:t>
      </w:r>
    </w:p>
    <w:p w14:paraId="2CA3905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边缘部署：Jetson上实测推理速度、内存占用、功耗</w:t>
      </w:r>
    </w:p>
    <w:p w14:paraId="12F296E6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综合指标：精度-速度帕累托曲线</w:t>
      </w:r>
    </w:p>
    <w:p w14:paraId="441B03F6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3.4 预期实验结果</w:t>
      </w:r>
    </w:p>
    <w:p w14:paraId="5FBB91EE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相比YOLOv8-N：mAP提升2-3%，推理速度持平</w:t>
      </w:r>
    </w:p>
    <w:p w14:paraId="07528D0E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相比YOLOv8-S：参数量减少60%+，mAP损失&lt;1%</w:t>
      </w:r>
    </w:p>
    <w:p w14:paraId="7169E457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边缘部署：Jetson上推理延迟&lt;15ms（&gt;60FPS），满足实时要求</w:t>
      </w:r>
    </w:p>
    <w:p w14:paraId="156ABB2B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3.5 应用场景</w:t>
      </w:r>
    </w:p>
    <w:p w14:paraId="3B01602A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工业质检：产线实时缺陷检测</w:t>
      </w:r>
    </w:p>
    <w:p w14:paraId="70BF9BE5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无人机巡检：电力线路、农业植保实时检测</w:t>
      </w:r>
    </w:p>
    <w:p w14:paraId="4EF3FD3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智慧交通：路口车辆行人检测</w:t>
      </w:r>
    </w:p>
    <w:p w14:paraId="12DD8D0E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智能安防：边缘摄像头实时告警</w:t>
      </w:r>
    </w:p>
    <w:p w14:paraId="4A45AD20">
      <w:pPr>
        <w:spacing w:before="360" w:after="160" w:line="360" w:lineRule="auto"/>
      </w:pPr>
      <w:r>
        <w:rPr>
          <w:rFonts w:ascii="黑体" w:hAnsi="黑体" w:eastAsia="黑体"/>
          <w:b/>
          <w:sz w:val="32"/>
        </w:rPr>
        <w:t>四、团队分工</w:t>
      </w:r>
    </w:p>
    <w:p w14:paraId="1FD05E9D">
      <w:pPr>
        <w:spacing w:line="360" w:lineRule="auto"/>
      </w:pPr>
      <w:r>
        <w:rPr>
          <w:rFonts w:ascii="宋体" w:hAnsi="宋体" w:eastAsia="宋体"/>
          <w:b/>
          <w:sz w:val="24"/>
        </w:rPr>
        <w:t>成员A：数据工程与基线实验（数据集、基线、统一评测，牵头报名提交）</w:t>
      </w:r>
    </w:p>
    <w:p w14:paraId="30A18E10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数据集准备：COCO2017 下载与完整性校验，分层子集（10%/25%/50%）构建与类别分布报告；PASCAL VOC 2007+2012 跨数据集验证集准备</w:t>
      </w:r>
    </w:p>
    <w:p w14:paraId="689C708A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抽样策略升级：在分层随机抽样基础上，实现基于教师模型预测熵的主动学习/核心集选择与难例挖掘两种子集，对比同等数据比例下的精度差异</w:t>
      </w:r>
    </w:p>
    <w:p w14:paraId="0051C9EB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基线复现：训练 YOLOv8-N、YOLOv8-S 在 100%/50%/25%/10% 四档训练集规模下的精度，绘制「训练数据量-mAP」衰减曲线，作为全队对照基准</w:t>
      </w:r>
    </w:p>
    <w:p w14:paraId="5120E936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统一评测管线：封装 mAP@0.5、mAP@0.5:0.95、参数量、FLOPs 一键评测脚本，B、C 的所有模型统一口径出数，保证消融实验可比</w:t>
      </w:r>
    </w:p>
    <w:p w14:paraId="3AC8FEA7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交付物：子集配置与分布报告、基线衰减曲线、统一评测脚本；第3周负责参赛材料终审与提交报名</w:t>
      </w:r>
    </w:p>
    <w:p w14:paraId="1C47C800">
      <w:pPr>
        <w:spacing w:line="360" w:lineRule="auto"/>
      </w:pPr>
      <w:r>
        <w:rPr>
          <w:rFonts w:ascii="宋体" w:hAnsi="宋体" w:eastAsia="宋体"/>
          <w:b/>
          <w:sz w:val="24"/>
        </w:rPr>
        <w:t>成员B：知识蒸馏与学生网络（阶段一，创新点1：自适应多粒度蒸馏）</w:t>
      </w:r>
    </w:p>
    <w:p w14:paraId="2CB3119D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学生网络：基于 YOLOv8-N 改进，设计 &lt;5M 参数轻量学生结构，并为成员C预留重参数化多分支模块接口</w:t>
      </w:r>
    </w:p>
    <w:p w14:paraId="3A19AB40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蒸馏训练工程：在自有 GPU 上完成蒸馏训练，并实现教师输出离线缓存机制（检测头 logits 与中间特征图落盘），使蒸馏训练也可分发到 A 的 1080 Ti 上离线执行</w:t>
      </w:r>
      <w:bookmarkStart w:id="0" w:name="_GoBack"/>
      <w:bookmarkEnd w:id="0"/>
    </w:p>
    <w:p w14:paraId="3D1B4AA0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蒸馏损失：Feature-level CWD（Channel-Wise Distillation）特征对齐 + Logit-level KL 散度软标签 + 关系蒸馏</w:t>
      </w:r>
    </w:p>
    <w:p w14:paraId="1F92C75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自适应蒸馏权重（创新点1）：按教师-学生特征图相似度动态调整各检测头、各特征层的蒸馏强度，相似度低的层加大蒸馏力度</w:t>
      </w:r>
    </w:p>
    <w:p w14:paraId="684AA42E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核心实验：在 10%/25% 子集上对比「纯监督 vs +知识蒸馏」，验证少数据场景下蒸馏对精度的补偿效果</w:t>
      </w:r>
    </w:p>
    <w:p w14:paraId="28B18F45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交付物：学生模型权重、蒸馏训练代码、教师输出缓存机制、子集蒸馏对比实验表</w:t>
      </w:r>
    </w:p>
    <w:p w14:paraId="4632C5AE">
      <w:pPr>
        <w:spacing w:line="360" w:lineRule="auto"/>
      </w:pPr>
      <w:r>
        <w:rPr>
          <w:rFonts w:ascii="宋体" w:hAnsi="宋体" w:eastAsia="宋体"/>
          <w:b/>
          <w:sz w:val="24"/>
        </w:rPr>
        <w:t>成员C：结构重参数化、INT8量化与边缘部署（阶段二、三，创新点2/3）</w:t>
      </w:r>
    </w:p>
    <w:p w14:paraId="78A086D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结构重参数化：训练时多分支结构（1×1卷积+3×3卷积+identity映射），推理时等效融合为单个 3×3 卷积；检测头专用重参数化模块（创新点2，含可变形卷积重参数化），覆盖 Neck 与 Head</w:t>
      </w:r>
    </w:p>
    <w:p w14:paraId="44EA683A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融合正确性验证：转换前后逐层输出数值一致性校验，参数量/FLOPs 前后对比，确保零精度损失等效转换</w:t>
      </w:r>
    </w:p>
    <w:p w14:paraId="5D8670A4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INT8 量化：PTQ 训练后量化快速部署 + QAT 量化感知训练对敏感层微调补偿；混合精度策略（骨干网络 INT8、PAN Neck INT8、检测头 FP16，创新点3）</w:t>
      </w:r>
    </w:p>
    <w:p w14:paraId="2B1C14CF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边缘部署：ONNX 导出与 ONNX Runtime 跨平台验证、TensorRT 8.x 引擎构建，Jetson Xavier NX 实测推理延迟（目标 &lt;15ms）、内存占用与功耗</w:t>
      </w:r>
    </w:p>
    <w:p w14:paraId="09979602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对比实验与材料：YOLOv5-N/S、MobileNetV3-SSD、PP-YOLOE-S 基线对比，全部消融实验汇总与精度-速度帕累托曲线；第3周牵头技术方案文档与答辩 PPT</w:t>
      </w:r>
    </w:p>
    <w:p w14:paraId="4ECDC193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交付物：重参数化融合工具、量化模型、ONNX/TensorRT 引擎、边缘部署实测数据、参赛技术材料</w:t>
      </w:r>
    </w:p>
    <w:p w14:paraId="1F26FB5B">
      <w:pPr>
        <w:spacing w:line="360" w:lineRule="auto"/>
      </w:pPr>
      <w:r>
        <w:rPr>
          <w:rFonts w:ascii="宋体" w:hAnsi="宋体" w:eastAsia="宋体"/>
          <w:b/>
          <w:sz w:val="24"/>
        </w:rPr>
        <w:t>协作接口约定</w:t>
      </w:r>
    </w:p>
    <w:p w14:paraId="5A2E920C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数据统一：成员B、C 必须使用成员A 提供的子集 yaml/txt 列表训练，不得私自切分数据</w:t>
      </w:r>
    </w:p>
    <w:p w14:paraId="0485B3E0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硬件分工：成员A 使用 GTX 1080 Ti（Pascal sm_61，11GB 显存，训练入口须显式 amp=False）承担基线训练与统一评测；成员B、C 在各自 GPU 配置上分别完成蒸馏训练与量化部署，边缘部署实测在 Jetson Xavier NX 上进行；三方训练并行推进、互不抢占</w:t>
      </w:r>
    </w:p>
    <w:p w14:paraId="1E281FE9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模型接口：成员B 向 C 交付 checkpoint 与结构定义，重参数化模块接口在第1周末由 B、C 共同冻结</w:t>
      </w:r>
    </w:p>
    <w:p w14:paraId="579E7562">
      <w:pPr>
        <w:spacing w:line="360" w:lineRule="auto"/>
        <w:ind w:left="420" w:hanging="181"/>
      </w:pPr>
      <w:r>
        <w:rPr>
          <w:rFonts w:ascii="宋体" w:hAnsi="宋体" w:eastAsia="宋体"/>
          <w:b w:val="0"/>
          <w:sz w:val="24"/>
        </w:rPr>
        <w:t>● 评测唯一：所有模型的精度与效率数据必须经成员A 的统一评测脚本出数；第3周由成员A 完成材料终审并提交报名</w:t>
      </w:r>
    </w:p>
    <w:p w14:paraId="0052C5DC">
      <w:pPr>
        <w:spacing w:before="360" w:after="160" w:line="360" w:lineRule="auto"/>
      </w:pPr>
      <w:r>
        <w:rPr>
          <w:rFonts w:ascii="黑体" w:hAnsi="黑体" w:eastAsia="黑体"/>
          <w:b/>
          <w:sz w:val="32"/>
        </w:rPr>
        <w:t>五、时间规划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ADD6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7FD94946">
            <w:pPr>
              <w:spacing w:line="36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阶段</w:t>
            </w:r>
          </w:p>
        </w:tc>
        <w:tc>
          <w:tcPr>
            <w:tcW w:w="2161" w:type="dxa"/>
            <w:shd w:val="clear" w:color="auto" w:fill="D9E2F3"/>
          </w:tcPr>
          <w:p w14:paraId="08D53FEB">
            <w:pPr>
              <w:spacing w:line="36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时间</w:t>
            </w:r>
          </w:p>
        </w:tc>
        <w:tc>
          <w:tcPr>
            <w:tcW w:w="2161" w:type="dxa"/>
            <w:shd w:val="clear" w:color="auto" w:fill="D9E2F3"/>
          </w:tcPr>
          <w:p w14:paraId="3E31D7BA">
            <w:pPr>
              <w:spacing w:line="36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任务</w:t>
            </w:r>
          </w:p>
        </w:tc>
        <w:tc>
          <w:tcPr>
            <w:tcW w:w="2161" w:type="dxa"/>
            <w:shd w:val="clear" w:color="auto" w:fill="D9E2F3"/>
          </w:tcPr>
          <w:p w14:paraId="5127185C">
            <w:pPr>
              <w:spacing w:line="36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交付物</w:t>
            </w:r>
          </w:p>
        </w:tc>
      </w:tr>
      <w:tr w14:paraId="3F2AF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93588B2"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准备与开发启动</w:t>
            </w:r>
          </w:p>
        </w:tc>
        <w:tc>
          <w:tcPr>
            <w:tcW w:w="2161" w:type="dxa"/>
          </w:tcPr>
          <w:p w14:paraId="074744B5"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第1周</w:t>
            </w:r>
          </w:p>
        </w:tc>
        <w:tc>
          <w:tcPr>
            <w:tcW w:w="2161" w:type="dxa"/>
          </w:tcPr>
          <w:p w14:paraId="4169BDE2">
            <w:pPr>
              <w:spacing w:line="36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文献调研、环境搭建；COCO子集构建与YOLOv8-N/S基线复现；教师输出离线缓存；学生网络与重参数化模块开发、接口冻结</w:t>
            </w:r>
          </w:p>
        </w:tc>
        <w:tc>
          <w:tcPr>
            <w:tcW w:w="2161" w:type="dxa"/>
          </w:tcPr>
          <w:p w14:paraId="3B20DF35">
            <w:pPr>
              <w:spacing w:line="36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调研报告、基线模型与数据量-mAP衰减曲线、可跑通的蒸馏训练管线</w:t>
            </w:r>
          </w:p>
        </w:tc>
      </w:tr>
      <w:tr w14:paraId="66585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05674FC"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核心开发与实验</w:t>
            </w:r>
          </w:p>
        </w:tc>
        <w:tc>
          <w:tcPr>
            <w:tcW w:w="2161" w:type="dxa"/>
          </w:tcPr>
          <w:p w14:paraId="4FFCCE23"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第2周</w:t>
            </w:r>
          </w:p>
        </w:tc>
        <w:tc>
          <w:tcPr>
            <w:tcW w:w="2161" w:type="dxa"/>
          </w:tcPr>
          <w:p w14:paraId="3DB5EEC9">
            <w:pPr>
              <w:spacing w:line="36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知识蒸馏训练与自适应权重调参；重参数化融合与正确性验证；PTQ/QAT混合精度量化；消融实验与YOLOv5/MobileNetV3-SSD/PP-YOLOE-S对比实验</w:t>
            </w:r>
          </w:p>
        </w:tc>
        <w:tc>
          <w:tcPr>
            <w:tcW w:w="2161" w:type="dxa"/>
          </w:tcPr>
          <w:p w14:paraId="29E52994">
            <w:pPr>
              <w:spacing w:line="36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学生模型、量化模型与ONNX/TensorRT引擎、完整实验数据与帕累托曲线</w:t>
            </w:r>
          </w:p>
        </w:tc>
      </w:tr>
      <w:tr w14:paraId="41705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2309F36"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撰写与提交</w:t>
            </w:r>
          </w:p>
        </w:tc>
        <w:tc>
          <w:tcPr>
            <w:tcW w:w="2161" w:type="dxa"/>
          </w:tcPr>
          <w:p w14:paraId="2A4B6952"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第3周</w:t>
            </w:r>
          </w:p>
        </w:tc>
        <w:tc>
          <w:tcPr>
            <w:tcW w:w="2161" w:type="dxa"/>
          </w:tcPr>
          <w:p w14:paraId="17330789">
            <w:pPr>
              <w:spacing w:line="36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实验结果整理、技术方案撰写、答辩PPT；边缘部署实测补测；材料终审与提交报名（成员A负责）</w:t>
            </w:r>
          </w:p>
        </w:tc>
        <w:tc>
          <w:tcPr>
            <w:tcW w:w="2161" w:type="dxa"/>
          </w:tcPr>
          <w:p w14:paraId="62CB613C">
            <w:pPr>
              <w:spacing w:line="36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参赛技术材料、答辩PPT、最终提交</w:t>
            </w:r>
          </w:p>
        </w:tc>
      </w:tr>
    </w:tbl>
    <w:p w14:paraId="016BCD2F">
      <w:pPr>
        <w:spacing w:before="360" w:after="160" w:line="360" w:lineRule="auto"/>
      </w:pPr>
      <w:r>
        <w:rPr>
          <w:rFonts w:ascii="黑体" w:hAnsi="黑体" w:eastAsia="黑体"/>
          <w:b/>
          <w:sz w:val="32"/>
        </w:rPr>
        <w:t>六、参考文献方向</w:t>
      </w:r>
    </w:p>
    <w:p w14:paraId="4ADD8B34">
      <w:pPr>
        <w:spacing w:line="360" w:lineRule="auto"/>
        <w:ind w:left="420" w:hanging="420"/>
      </w:pPr>
      <w:r>
        <w:rPr>
          <w:rFonts w:ascii="宋体" w:hAnsi="宋体" w:eastAsia="宋体"/>
          <w:b w:val="0"/>
          <w:sz w:val="24"/>
        </w:rPr>
        <w:t>[1] YOLOv8官方技术报告</w:t>
      </w:r>
    </w:p>
    <w:p w14:paraId="63C8DD00">
      <w:pPr>
        <w:spacing w:line="360" w:lineRule="auto"/>
        <w:ind w:left="420" w:hanging="420"/>
      </w:pPr>
      <w:r>
        <w:rPr>
          <w:rFonts w:ascii="宋体" w:hAnsi="宋体" w:eastAsia="宋体"/>
          <w:b w:val="0"/>
          <w:sz w:val="24"/>
        </w:rPr>
        <w:t>[2] FKD: Feature-level Knowledge Distillation（CVPR相关）</w:t>
      </w:r>
    </w:p>
    <w:p w14:paraId="0AC98225">
      <w:pPr>
        <w:spacing w:line="360" w:lineRule="auto"/>
        <w:ind w:left="420" w:hanging="420"/>
      </w:pPr>
      <w:r>
        <w:rPr>
          <w:rFonts w:ascii="宋体" w:hAnsi="宋体" w:eastAsia="宋体"/>
          <w:b w:val="0"/>
          <w:sz w:val="24"/>
        </w:rPr>
        <w:t>[3] RepVGG: Making VGG-style ConvNets Great Again（CVPR 2021）</w:t>
      </w:r>
    </w:p>
    <w:p w14:paraId="17F473B5">
      <w:pPr>
        <w:spacing w:line="360" w:lineRule="auto"/>
        <w:ind w:left="420" w:hanging="420"/>
      </w:pPr>
      <w:r>
        <w:rPr>
          <w:rFonts w:ascii="宋体" w:hAnsi="宋体" w:eastAsia="宋体"/>
          <w:b w:val="0"/>
          <w:sz w:val="24"/>
        </w:rPr>
        <w:t>[4] Quantization-Aware Training相关论文</w:t>
      </w:r>
    </w:p>
    <w:p w14:paraId="51D83342">
      <w:pPr>
        <w:spacing w:line="360" w:lineRule="auto"/>
        <w:ind w:left="420" w:hanging="420"/>
      </w:pPr>
      <w:r>
        <w:rPr>
          <w:rFonts w:ascii="宋体" w:hAnsi="宋体" w:eastAsia="宋体"/>
          <w:b w:val="0"/>
          <w:sz w:val="24"/>
        </w:rPr>
        <w:t>[5] 边缘AI部署优化相关文献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63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WPS_1729263049</cp:lastModifiedBy>
  <dcterms:modified xsi:type="dcterms:W3CDTF">2026-09-10T06:05:20Z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D06A99D4D00DDC24BD06A06AE0EC268A_31</vt:lpwstr>
  </property>
  <property fmtid="{D5CDD505-2E9C-101B-9397-08002B2CF9AE}" pid="3" name="KSOProductBuildVer">
    <vt:lpwstr>2052-12.8.2.21555</vt:lpwstr>
  </property>
</Properties>
</file>