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before="0" w:after="200" w:line="240" w:lineRule="auto"/>
        <w:jc w:val="center"/>
      </w:pPr>
      <w:r>
        <w:rPr>
          <w:b/>
          <w:bCs/>
          <w:sz w:val="30"/>
          <w:szCs w:val="30"/>
        </w:rPr>
        <w:t xml:space="preserve">Misalignment-Induced Load Redistribution in Gear Meshes: A Compliance-Ratio Analysis of Published Face-Width and Planetary Load-Sharing Experiments</w:t>
      </w:r>
    </w:p>
    <w:p>
      <w:pPr>
        <w:spacing w:before="0" w:after="60" w:line="240" w:lineRule="auto"/>
        <w:jc w:val="center"/>
      </w:pPr>
      <w:r>
        <w:t xml:space="preserve">Yunus Emre Karabacak</w:t>
      </w:r>
      <w:r>
        <w:rPr>
          <w:vertAlign w:val="superscript"/>
        </w:rPr>
        <w:t xml:space="preserve">*</w:t>
      </w:r>
    </w:p>
    <w:p>
      <w:pPr>
        <w:spacing w:before="0" w:after="60" w:line="240" w:lineRule="auto"/>
        <w:jc w:val="center"/>
      </w:pPr>
      <w:r>
        <w:rPr>
          <w:i/>
          <w:iCs/>
          <w:sz w:val="20"/>
          <w:szCs w:val="20"/>
        </w:rPr>
        <w:t xml:space="preserve">Department of Mechanical Engineering, Karadeniz Technical University, 61080 Trabzon, Türkiye</w:t>
      </w:r>
    </w:p>
    <w:p>
      <w:pPr>
        <w:spacing w:before="0" w:after="240" w:line="240" w:lineRule="auto"/>
        <w:jc w:val="center"/>
      </w:pPr>
      <w:r>
        <w:rPr>
          <w:sz w:val="18"/>
          <w:szCs w:val="18"/>
        </w:rPr>
        <w:t xml:space="preserve">*Corresponding author. E-mail: karabacak@ktu.edu.tr; ORCID: 0000-0002-0268-3656</w:t>
      </w:r>
    </w:p>
    <w:p>
      <w:pPr>
        <w:pStyle w:val="Balk1"/>
        <w:keepNext/>
        <w:spacing w:before="240" w:after="120"/>
      </w:pPr>
      <w:r>
        <w:t xml:space="preserve">Abstract</w:t>
      </w:r>
    </w:p>
    <w:p>
      <w:pPr>
        <w:spacing w:before="0" w:after="120" w:line="264" w:lineRule="auto"/>
        <w:jc w:val="both"/>
      </w:pPr>
      <w:r>
        <w:t xml:space="preserve">Shaft misalignment and carrier pinhole position errors redistribute load across the face width of a gear mesh and among the planets of a planetary gear set, yet rating standards describe the two cases with separate factors. This study examined whether both depend on misalignment through one dimensionless compliance ratio, the geometric mismatch divided by the effective elastic deflection of the loaded path. Measurements from six experimental studies (helical, hypoid, spur and planetary gears; three laboratories) were split, before fitting, into calibration and validation sets. For a helical pair, the face-width redistribution slope was linear in the ratio with a coefficient of 0.90 (95% confidence interval 0.80–1.05; </w:t>
      </w:r>
      <w:r>
        <w:rPr>
          <w:i/>
          <w:iCs/>
        </w:rPr>
        <w:t xml:space="preserve">R</w:t>
      </w:r>
      <w:r>
        <w:rPr>
          <w:vertAlign w:val="superscript"/>
        </w:rPr>
        <w:t xml:space="preserve">2</w:t>
      </w:r>
      <w:r>
        <w:t xml:space="preserve"> = 0.975) when the pair-specific mesh deflection was used, and ISO 6336-1 Method C matched or exceeded the measured root-strain ratios once an effective residual misalignment was included. For planetary sets with a floating sun, a one-parameter path model based on the same ratio reproduced measured six-planet load shares with a root-mean-square error of 1.6 percentage points, as accurately as a multibody contact model. The effective planet-centre deflection was about 8.6 times the mesh-only value from ISO 6336-1 and grew sub-linearly with load, so the mesh load factor decreased with torque with a pooled exponent of 0.73 (95% confidence interval 0.64–0.83). Without recalibration, the model reduced the per-pin error on an industrial six-planet gearbox by 24% in one of two data sets. No published transmission-error study reports both misalignment magnitude and mesh deflection, so a transmission-error relation could not be tested.</w:t>
      </w:r>
    </w:p>
    <w:p>
      <w:pPr>
        <w:spacing w:before="0" w:after="200" w:line="264" w:lineRule="auto"/>
        <w:jc w:val="both"/>
      </w:pPr>
      <w:r>
        <w:rPr>
          <w:b/>
          <w:bCs/>
        </w:rPr>
        <w:t xml:space="preserve">Keywords</w:t>
      </w:r>
      <w:r>
        <w:t xml:space="preserve"> </w:t>
      </w:r>
      <w:r>
        <w:t xml:space="preserve">Gear misalignment; Face load factor; Planet load sharing; Carrier pinhole position error; Compliance ratio; Transmission error</w:t>
      </w:r>
    </w:p>
    <w:p>
      <w:pPr>
        <w:pStyle w:val="Balk1"/>
        <w:keepNext/>
        <w:spacing w:before="240" w:after="120"/>
      </w:pPr>
      <w:r>
        <w:t xml:space="preserve">1 Introduction</w:t>
      </w:r>
    </w:p>
    <w:p>
      <w:pPr>
        <w:spacing w:before="0" w:after="120" w:line="264" w:lineRule="auto"/>
        <w:jc w:val="both"/>
      </w:pPr>
      <w:r>
        <w:t xml:space="preserve">Misalignment between mating gears cannot be eliminated in practice; it arises from manufacturing and assembly tolerances of bearing seats and carrier pinholes and from shaft, bearing and housing deflection. Its first effect is geometric: the flanks are no longer parallel, so load concentrates towards one end of the face width in a parallel-axis pair, or on one planet in a planetary gear set. Its second effect is elastic: teeth, shafts, bearings and rims deflect and partly restore contact. The balance between the two governs the peak tooth stress, the contact pattern and the mesh excitation, and hence the tolerances that a precision gearbox must hold.</w:t>
      </w:r>
    </w:p>
    <w:p>
      <w:pPr>
        <w:spacing w:before="0" w:after="120" w:line="264" w:lineRule="auto"/>
        <w:jc w:val="both"/>
      </w:pPr>
      <w:r>
        <w:t xml:space="preserve">Rating standards treat the two cases separately: the face load factor </w:t>
      </w:r>
      <w:r>
        <w:rPr>
          <w:i/>
          <w:iCs/>
        </w:rPr>
        <w:t xml:space="preserve">K</w:t>
      </w:r>
      <w:r>
        <w:rPr>
          <w:i/>
          <w:iCs/>
          <w:vertAlign w:val="subscript"/>
        </w:rPr>
        <w:t xml:space="preserve">Hβ</w:t>
      </w:r>
      <w:r>
        <w:t xml:space="preserve"> describes the distribution across the face width [1, 2], and the mesh load factor </w:t>
      </w:r>
      <w:r>
        <w:rPr>
          <w:i/>
          <w:iCs/>
        </w:rPr>
        <w:t xml:space="preserve">K</w:t>
      </w:r>
      <w:r>
        <w:rPr>
          <w:i/>
          <w:iCs/>
          <w:vertAlign w:val="subscript"/>
        </w:rPr>
        <w:t xml:space="preserve">γ</w:t>
      </w:r>
      <w:r>
        <w:t xml:space="preserve"> the distribution among the planets [3]. ISO 6336-1 Method C already compares the effective equivalent misalignment with the mean mesh deflection [1], whereas planetary design practice specifies </w:t>
      </w:r>
      <w:r>
        <w:rPr>
          <w:i/>
          <w:iCs/>
        </w:rPr>
        <w:t xml:space="preserve">K</w:t>
      </w:r>
      <w:r>
        <w:rPr>
          <w:i/>
          <w:iCs/>
          <w:vertAlign w:val="subscript"/>
        </w:rPr>
        <w:t xml:space="preserve">γ</w:t>
      </w:r>
      <w:r>
        <w:t xml:space="preserve"> mainly as a function of the number of planets, not of torque [3]. If redistribution in both settings were governed by the same ratio of geometric mismatch to elastic path deflection, </w:t>
      </w:r>
      <w:r>
        <w:rPr>
          <w:i/>
          <w:iCs/>
        </w:rPr>
        <w:t xml:space="preserve">K</w:t>
      </w:r>
      <w:r>
        <w:rPr>
          <w:i/>
          <w:iCs/>
          <w:vertAlign w:val="subscript"/>
        </w:rPr>
        <w:t xml:space="preserve">γ</w:t>
      </w:r>
      <w:r>
        <w:t xml:space="preserve"> would vary with torque, and one dimensionless coordinate could organise face-width, planet-to-planet and possibly transmission-error data.</w:t>
      </w:r>
    </w:p>
    <w:p>
      <w:pPr>
        <w:spacing w:before="0" w:after="120" w:line="264" w:lineRule="auto"/>
        <w:jc w:val="both"/>
      </w:pPr>
      <w:r>
        <w:t xml:space="preserve">Detailed load distribution models exist for both settings (Section 2), but whether one dimensionless ratio governs both has not been tested against independent experiments with a data partition fixed in advance. This study carried out such a test with published measurements. A compliance ratio </w:t>
      </w:r>
      <w:r>
        <w:rPr>
          <w:i/>
          <w:iCs/>
        </w:rPr>
        <w:t xml:space="preserve">Π</w:t>
      </w:r>
      <w:r>
        <w:t xml:space="preserve"> was defined, a slice model of the face width and a translational path model of the planetary set were formulated in terms of </w:t>
      </w:r>
      <w:r>
        <w:rPr>
          <w:i/>
          <w:iCs/>
        </w:rPr>
        <w:t xml:space="preserve">Π</w:t>
      </w:r>
      <w:r>
        <w:t xml:space="preserve">, and both were compared with ISO 6336-1 Method C, a multibody contact model, a constant design value of </w:t>
      </w:r>
      <w:r>
        <w:rPr>
          <w:i/>
          <w:iCs/>
        </w:rPr>
        <w:t xml:space="preserve">K</w:t>
      </w:r>
      <w:r>
        <w:rPr>
          <w:i/>
          <w:iCs/>
          <w:vertAlign w:val="subscript"/>
        </w:rPr>
        <w:t xml:space="preserve">γ</w:t>
      </w:r>
      <w:r>
        <w:t xml:space="preserve"> and equal load sharing. Regime boundaries and failures of transfer were treated as admissible outcomes.</w:t>
      </w:r>
    </w:p>
    <w:p>
      <w:pPr>
        <w:spacing w:before="0" w:after="120" w:line="264" w:lineRule="auto"/>
        <w:jc w:val="both"/>
      </w:pPr>
      <w:r>
        <w:t xml:space="preserve">The contributions are (1) a test, on measurements from two laboratories, of whether face-width and planet-to-planet redistribution share one controlling ratio while all load paths remain in contact; (2) a quantification of the effective path compliance and load exponent that this ratio requires in planetary sets, which implies that </w:t>
      </w:r>
      <w:r>
        <w:rPr>
          <w:i/>
          <w:iCs/>
        </w:rPr>
        <w:t xml:space="preserve">K</w:t>
      </w:r>
      <w:r>
        <w:rPr>
          <w:i/>
          <w:iCs/>
          <w:vertAlign w:val="subscript"/>
        </w:rPr>
        <w:t xml:space="preserve">γ</w:t>
      </w:r>
      <w:r>
        <w:t xml:space="preserve"> decreases sub-linearly with torque; and (3) a statement of the current limits, namely the incomplete transfer to an industrial gearbox and the absence of experiments that would allow a misalignment–transmission-error relation to be tested.</w:t>
      </w:r>
    </w:p>
    <w:p>
      <w:pPr>
        <w:pStyle w:val="Balk1"/>
        <w:keepNext/>
        <w:spacing w:before="240" w:after="120"/>
      </w:pPr>
      <w:r>
        <w:t xml:space="preserve">2 Literature Review</w:t>
      </w:r>
    </w:p>
    <w:p>
      <w:pPr>
        <w:pStyle w:val="Balk2"/>
        <w:keepNext/>
        <w:spacing w:before="180" w:after="80"/>
      </w:pPr>
      <w:r>
        <w:t xml:space="preserve">2.1 Face-Width Load Distribution Under Misalignment</w:t>
      </w:r>
    </w:p>
    <w:p>
      <w:pPr>
        <w:spacing w:before="0" w:after="120" w:line="264" w:lineRule="auto"/>
        <w:jc w:val="both"/>
      </w:pPr>
      <w:r>
        <w:t xml:space="preserve">Root-strain experiments have shown that controlled shaft misalignment shifts the load towards one end of a helical face width [4] and between toe and heel of a hypoid pair [5]. Unloaded contact-pattern measurements quantified the loss of contact area under axial, radial and angular misalignment [6]. Finite-element loaded tooth contact analysis showed that misalignment in the plane of action changes contact and root stresses, load sharing and transmission error, whereas misalignment normal to that plane has little effect [7, 8]. Misalignment also reduces the time-varying mesh stiffness [9] and changes the contact pattern and contact fatigue life of profile-shifted helical gears [10], and lead modification can move the load from the face ends towards the centre [11]. A recent finite-element assessment found that the ISO 6336 methods overestimate the face load factor of helical gears in most of the cases examined [12]. These models predict the distribution of a given gear pair but do not reduce it to a dimensionless parameter that is comparable across gear pairs, loads and architectures.</w:t>
      </w:r>
    </w:p>
    <w:p>
      <w:pPr>
        <w:pStyle w:val="Balk2"/>
        <w:keepNext/>
        <w:spacing w:before="180" w:after="80"/>
      </w:pPr>
      <w:r>
        <w:t xml:space="preserve">2.2 Planet Load Sharing Under Carrier Errors</w:t>
      </w:r>
    </w:p>
    <w:p>
      <w:pPr>
        <w:spacing w:before="0" w:after="120" w:line="264" w:lineRule="auto"/>
        <w:jc w:val="both"/>
      </w:pPr>
      <w:r>
        <w:t xml:space="preserve">Planet load sharing has been modelled with discrete [13–15], system-level and deformable-body [16, 17] and three-dimensional formulations that include manufacturing errors and tooth modifications [18–20]. The translational analogy of [15] represents each planet by its sun and ring mesh springs in parallel, in series with the planet bearing, and gives closed-form planet loads while all planets remain loaded. Multi-mesh models show that planet tilting loads opposite face ends of the sun–planet and ring–planet meshes [19], and slice-based models with three-dimensional pinhole errors were validated on wind-turbine stages [20]. A system-level model of an industrial gearbox reproduced its measured load shares within 10% [21], and the system configuration has been studied parametrically [22]. Experimentally, a single carrier pinhole error can almost unload a planet [17, 23], and measurements on the same industrial gearbox quantified the effect of measured pinhole errors under static and rotating conditions [24, 25]. No single governing ratio has been identified, and the torque dependence of </w:t>
      </w:r>
      <w:r>
        <w:rPr>
          <w:i/>
          <w:iCs/>
        </w:rPr>
        <w:t xml:space="preserve">K</w:t>
      </w:r>
      <w:r>
        <w:rPr>
          <w:i/>
          <w:iCs/>
          <w:vertAlign w:val="subscript"/>
        </w:rPr>
        <w:t xml:space="preserve">γ</w:t>
      </w:r>
      <w:r>
        <w:t xml:space="preserve"> has not been compared across laboratories with the scaling implied by linear path stiffness.</w:t>
      </w:r>
    </w:p>
    <w:p>
      <w:pPr>
        <w:pStyle w:val="Balk2"/>
        <w:keepNext/>
        <w:spacing w:before="180" w:after="80"/>
      </w:pPr>
      <w:r>
        <w:t xml:space="preserve">2.3 Transmission Error Under Misalignment</w:t>
      </w:r>
    </w:p>
    <w:p>
      <w:pPr>
        <w:spacing w:before="0" w:after="120" w:line="264" w:lineRule="auto"/>
        <w:jc w:val="both"/>
      </w:pPr>
      <w:r>
        <w:t xml:space="preserve">Transmission error is a principal excitation of gear noise and is linearly related to the dynamic stress factor of spur gears [26, 27]. Encoder-based measurement has made it accessible on industrial gearboxes [28], and planetary models have been validated jointly for transmission error, mesh stiffness and load sharing [29]. Experimental evidence on misalignment is scarce: one study reported that misalignment raises the low-order transmission-error harmonics of a crowned spur pair at light load, without reporting its magnitude [30], and a gearbox study described misalignment effects through vibration and inspection [31]. Neither reports the mesh deflection.</w:t>
      </w:r>
    </w:p>
    <w:p>
      <w:pPr>
        <w:pStyle w:val="Balk2"/>
        <w:keepNext/>
        <w:spacing w:before="180" w:after="80"/>
      </w:pPr>
      <w:r>
        <w:t xml:space="preserve">2.4 Research Gap</w:t>
      </w:r>
    </w:p>
    <w:p>
      <w:pPr>
        <w:spacing w:before="0" w:after="120" w:line="264" w:lineRule="auto"/>
        <w:jc w:val="both"/>
      </w:pPr>
      <w:r>
        <w:t xml:space="preserve">Table 1 shows that misalignment magnitude and load distribution are reported in several studies, but mesh deflection only for one helical pair (as a calculated value) and transmission error only once, without a misalignment magnitude. Whether face-width and planet-to-planet redistribution collapse onto one deflection-normalised ratio has therefore not been tested on independent measurements, and the data for an equivalent test on transmission error do not yet exist. This study addresses the first gap and specifies the experiment needed for the second.</w:t>
      </w:r>
    </w:p>
    <w:p>
      <w:pPr>
        <w:keepNext/>
        <w:spacing w:before="200" w:after="80" w:line="240" w:lineRule="auto"/>
        <w:jc w:val="both"/>
      </w:pPr>
      <w:r>
        <w:rPr>
          <w:b/>
          <w:bCs/>
          <w:sz w:val="20"/>
          <w:szCs w:val="20"/>
        </w:rPr>
        <w:t xml:space="preserve">Table 1</w:t>
      </w:r>
      <w:r>
        <w:rPr>
          <w:sz w:val="20"/>
          <w:szCs w:val="20"/>
        </w:rPr>
        <w:t xml:space="preserve"> </w:t>
      </w:r>
      <w:r>
        <w:rPr>
          <w:sz w:val="20"/>
          <w:szCs w:val="20"/>
        </w:rPr>
        <w:t xml:space="preserve">Quantities reported in experimental studies on gear misalignment. Y = quantitative; P = partial or qualitative; – = not reported; n.a. = not applicable; TE = transmission error; </w:t>
      </w:r>
      <w:r>
        <w:rPr>
          <w:i/>
          <w:iCs/>
          <w:sz w:val="20"/>
          <w:szCs w:val="20"/>
        </w:rPr>
        <w:t xml:space="preserve">C</w:t>
      </w:r>
      <w:r>
        <w:rPr>
          <w:i/>
          <w:iCs/>
          <w:sz w:val="20"/>
          <w:szCs w:val="20"/>
          <w:vertAlign w:val="subscript"/>
        </w:rPr>
        <w:t xml:space="preserve">β</w:t>
      </w:r>
      <w:r>
        <w:rPr>
          <w:sz w:val="20"/>
          <w:szCs w:val="20"/>
        </w:rPr>
        <w:t xml:space="preserve"> = lead crown height; </w:t>
      </w:r>
      <w:r>
        <w:rPr>
          <w:i/>
          <w:iCs/>
          <w:sz w:val="20"/>
          <w:szCs w:val="20"/>
        </w:rPr>
        <w:t xml:space="preserve">h</w:t>
      </w:r>
      <w:r>
        <w:rPr>
          <w:sz w:val="20"/>
          <w:szCs w:val="20"/>
        </w:rPr>
        <w:t xml:space="preserve"> = misalignment slope; </w:t>
      </w:r>
      <w:r>
        <w:rPr>
          <w:i/>
          <w:iCs/>
          <w:sz w:val="20"/>
          <w:szCs w:val="20"/>
        </w:rPr>
        <w:t xml:space="preserve">V</w:t>
      </w:r>
      <w:r>
        <w:rPr>
          <w:sz w:val="20"/>
          <w:szCs w:val="20"/>
        </w:rPr>
        <w:t xml:space="preserve">, </w:t>
      </w:r>
      <w:r>
        <w:rPr>
          <w:i/>
          <w:iCs/>
          <w:sz w:val="20"/>
          <w:szCs w:val="20"/>
        </w:rPr>
        <w:t xml:space="preserve">H</w:t>
      </w:r>
      <w:r>
        <w:rPr>
          <w:sz w:val="20"/>
          <w:szCs w:val="20"/>
        </w:rPr>
        <w:t xml:space="preserve">, </w:t>
      </w:r>
      <w:r>
        <w:rPr>
          <w:i/>
          <w:iCs/>
          <w:sz w:val="20"/>
          <w:szCs w:val="20"/>
        </w:rPr>
        <w:t xml:space="preserve">G</w:t>
      </w:r>
      <w:r>
        <w:rPr>
          <w:sz w:val="20"/>
          <w:szCs w:val="20"/>
        </w:rPr>
        <w:t xml:space="preserve">, </w:t>
      </w:r>
      <w:r>
        <w:rPr>
          <w:i/>
          <w:iCs/>
          <w:sz w:val="20"/>
          <w:szCs w:val="20"/>
        </w:rPr>
        <w:t xml:space="preserve">γ</w:t>
      </w:r>
      <w:r>
        <w:rPr>
          <w:sz w:val="20"/>
          <w:szCs w:val="20"/>
        </w:rPr>
        <w:t xml:space="preserve"> = hypoid pinion offset, pinion mounting distance, gear mounting distance and shaft angle errors; </w:t>
      </w:r>
      <w:r>
        <w:rPr>
          <w:i/>
          <w:iCs/>
          <w:sz w:val="20"/>
          <w:szCs w:val="20"/>
        </w:rPr>
        <w:t xml:space="preserve">n</w:t>
      </w:r>
      <w:r>
        <w:rPr>
          <w:sz w:val="20"/>
          <w:szCs w:val="20"/>
        </w:rPr>
        <w:t xml:space="preserve"> = number of planets</w:t>
      </w:r>
    </w:p>
    <w:tbl>
      <w:tblPr>
        <w:tblW w:w="9070" w:type="dxa"/>
        <w:tblLayout w:type="fixed"/>
        <w:tblCellMar>
          <w:left w:w="60" w:type="dxa"/>
          <w:right w:w="60" w:type="dxa"/>
        </w:tblCellMar>
        <w:tblLook w:val="04A0" w:firstRow="1" w:lastRow="0" w:firstColumn="1" w:lastColumn="0" w:noHBand="0" w:noVBand="1"/>
      </w:tblPr>
      <w:tblGrid>
        <w:gridCol w:w="1650"/>
        <w:gridCol w:w="1500"/>
        <w:gridCol w:w="1650"/>
        <w:gridCol w:w="1300"/>
        <w:gridCol w:w="1250"/>
        <w:gridCol w:w="1200"/>
        <w:gridCol w:w="520"/>
      </w:tblGrid>
      <w:tr>
        <w:trPr>
          <w:cantSplit/>
          <w:tblHeader/>
        </w:trPr>
        <w:tc>
          <w:tcPr>
            <w:tcW w:w="1650" w:type="dxa"/>
            <w:tcBorders>
              <w:top w:val="single" w:sz="6" w:space="0" w:color="000000"/>
              <w:left w:val="nil"/>
              <w:bottom w:val="single" w:sz="6" w:space="0" w:color="000000"/>
              <w:right w:val="nil"/>
            </w:tcBorders>
            <w:tcMar>
              <w:top w:w="30" w:type="dxa"/>
              <w:left w:w="60" w:type="dxa"/>
              <w:bottom w:w="30" w:type="dxa"/>
              <w:right w:w="60" w:type="dxa"/>
            </w:tcMar>
          </w:tcPr>
          <w:p>
            <w:pPr>
              <w:spacing w:before="0" w:after="0" w:line="240" w:lineRule="auto"/>
              <w:jc w:val="left"/>
            </w:pPr>
            <w:r>
              <w:rPr>
                <w:b/>
                <w:bCs/>
                <w:sz w:val="16"/>
                <w:szCs w:val="16"/>
              </w:rPr>
              <w:t xml:space="preserve">Study</w:t>
            </w:r>
          </w:p>
        </w:tc>
        <w:tc>
          <w:tcPr>
            <w:tcW w:w="1500" w:type="dxa"/>
            <w:tcBorders>
              <w:top w:val="single" w:sz="6" w:space="0" w:color="000000"/>
              <w:left w:val="nil"/>
              <w:bottom w:val="single" w:sz="6" w:space="0" w:color="000000"/>
              <w:right w:val="nil"/>
            </w:tcBorders>
            <w:tcMar>
              <w:top w:w="30" w:type="dxa"/>
              <w:left w:w="60" w:type="dxa"/>
              <w:bottom w:w="30" w:type="dxa"/>
              <w:right w:w="60" w:type="dxa"/>
            </w:tcMar>
          </w:tcPr>
          <w:p>
            <w:pPr>
              <w:spacing w:before="0" w:after="0" w:line="240" w:lineRule="auto"/>
              <w:jc w:val="left"/>
            </w:pPr>
            <w:r>
              <w:rPr>
                <w:b/>
                <w:bCs/>
                <w:sz w:val="16"/>
                <w:szCs w:val="16"/>
              </w:rPr>
              <w:t xml:space="preserve">Architecture</w:t>
            </w:r>
          </w:p>
        </w:tc>
        <w:tc>
          <w:tcPr>
            <w:tcW w:w="1650" w:type="dxa"/>
            <w:tcBorders>
              <w:top w:val="single" w:sz="6" w:space="0" w:color="000000"/>
              <w:left w:val="nil"/>
              <w:bottom w:val="single" w:sz="6" w:space="0" w:color="000000"/>
              <w:right w:val="nil"/>
            </w:tcBorders>
            <w:tcMar>
              <w:top w:w="30" w:type="dxa"/>
              <w:left w:w="60" w:type="dxa"/>
              <w:bottom w:w="30" w:type="dxa"/>
              <w:right w:w="60" w:type="dxa"/>
            </w:tcMar>
          </w:tcPr>
          <w:p>
            <w:pPr>
              <w:spacing w:before="0" w:after="0" w:line="240" w:lineRule="auto"/>
              <w:jc w:val="left"/>
            </w:pPr>
            <w:r>
              <w:rPr>
                <w:b/>
                <w:bCs/>
                <w:sz w:val="16"/>
                <w:szCs w:val="16"/>
              </w:rPr>
              <w:t xml:space="preserve">Misalignment magnitude</w:t>
            </w:r>
          </w:p>
        </w:tc>
        <w:tc>
          <w:tcPr>
            <w:tcW w:w="1300" w:type="dxa"/>
            <w:tcBorders>
              <w:top w:val="single" w:sz="6" w:space="0" w:color="000000"/>
              <w:left w:val="nil"/>
              <w:bottom w:val="single" w:sz="6" w:space="0" w:color="000000"/>
              <w:right w:val="nil"/>
            </w:tcBorders>
            <w:tcMar>
              <w:top w:w="30" w:type="dxa"/>
              <w:left w:w="60" w:type="dxa"/>
              <w:bottom w:w="30" w:type="dxa"/>
              <w:right w:w="60" w:type="dxa"/>
            </w:tcMar>
          </w:tcPr>
          <w:p>
            <w:pPr>
              <w:spacing w:before="0" w:after="0" w:line="240" w:lineRule="auto"/>
              <w:jc w:val="left"/>
            </w:pPr>
            <w:r>
              <w:rPr>
                <w:b/>
                <w:bCs/>
                <w:sz w:val="16"/>
                <w:szCs w:val="16"/>
              </w:rPr>
              <w:t xml:space="preserve">Mesh deflection or stiffness</w:t>
            </w:r>
          </w:p>
        </w:tc>
        <w:tc>
          <w:tcPr>
            <w:tcW w:w="1250" w:type="dxa"/>
            <w:tcBorders>
              <w:top w:val="single" w:sz="6" w:space="0" w:color="000000"/>
              <w:left w:val="nil"/>
              <w:bottom w:val="single" w:sz="6" w:space="0" w:color="000000"/>
              <w:right w:val="nil"/>
            </w:tcBorders>
            <w:tcMar>
              <w:top w:w="30" w:type="dxa"/>
              <w:left w:w="60" w:type="dxa"/>
              <w:bottom w:w="30" w:type="dxa"/>
              <w:right w:w="60" w:type="dxa"/>
            </w:tcMar>
          </w:tcPr>
          <w:p>
            <w:pPr>
              <w:spacing w:before="0" w:after="0" w:line="240" w:lineRule="auto"/>
              <w:jc w:val="left"/>
            </w:pPr>
            <w:r>
              <w:rPr>
                <w:b/>
                <w:bCs/>
                <w:sz w:val="16"/>
                <w:szCs w:val="16"/>
              </w:rPr>
              <w:t xml:space="preserve">Load distribution</w:t>
            </w:r>
          </w:p>
        </w:tc>
        <w:tc>
          <w:tcPr>
            <w:tcW w:w="1200" w:type="dxa"/>
            <w:tcBorders>
              <w:top w:val="single" w:sz="6" w:space="0" w:color="000000"/>
              <w:left w:val="nil"/>
              <w:bottom w:val="single" w:sz="6" w:space="0" w:color="000000"/>
              <w:right w:val="nil"/>
            </w:tcBorders>
            <w:tcMar>
              <w:top w:w="30" w:type="dxa"/>
              <w:left w:w="60" w:type="dxa"/>
              <w:bottom w:w="30" w:type="dxa"/>
              <w:right w:w="60" w:type="dxa"/>
            </w:tcMar>
          </w:tcPr>
          <w:p>
            <w:pPr>
              <w:spacing w:before="0" w:after="0" w:line="240" w:lineRule="auto"/>
              <w:jc w:val="left"/>
            </w:pPr>
            <w:r>
              <w:rPr>
                <w:b/>
                <w:bCs/>
                <w:sz w:val="16"/>
                <w:szCs w:val="16"/>
              </w:rPr>
              <w:t xml:space="preserve">Torque sweep</w:t>
            </w:r>
          </w:p>
        </w:tc>
        <w:tc>
          <w:tcPr>
            <w:tcW w:w="520" w:type="dxa"/>
            <w:tcBorders>
              <w:top w:val="single" w:sz="6" w:space="0" w:color="000000"/>
              <w:left w:val="nil"/>
              <w:bottom w:val="single" w:sz="6" w:space="0" w:color="000000"/>
              <w:right w:val="nil"/>
            </w:tcBorders>
            <w:tcMar>
              <w:top w:w="30" w:type="dxa"/>
              <w:left w:w="60" w:type="dxa"/>
              <w:bottom w:w="30" w:type="dxa"/>
              <w:right w:w="60" w:type="dxa"/>
            </w:tcMar>
          </w:tcPr>
          <w:p>
            <w:pPr>
              <w:spacing w:before="0" w:after="0" w:line="240" w:lineRule="auto"/>
              <w:jc w:val="left"/>
            </w:pPr>
            <w:r>
              <w:rPr>
                <w:b/>
                <w:bCs/>
                <w:sz w:val="16"/>
                <w:szCs w:val="16"/>
              </w:rPr>
              <w:t xml:space="preserve">TE</w:t>
            </w:r>
          </w:p>
        </w:tc>
      </w:tr>
      <w:tr>
        <w:trPr>
          <w:cantSplit/>
        </w:trPr>
        <w:tc>
          <w:tcPr>
            <w:tcW w:w="165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Hotait and Kahraman [4]</w:t>
            </w:r>
          </w:p>
        </w:tc>
        <w:tc>
          <w:tcPr>
            <w:tcW w:w="15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Helical; </w:t>
            </w:r>
            <w:r>
              <w:rPr>
                <w:i/>
                <w:iCs/>
                <w:sz w:val="16"/>
                <w:szCs w:val="16"/>
              </w:rPr>
              <w:t xml:space="preserve">C</w:t>
            </w:r>
            <w:r>
              <w:rPr>
                <w:i/>
                <w:iCs/>
                <w:sz w:val="16"/>
                <w:szCs w:val="16"/>
                <w:vertAlign w:val="subscript"/>
              </w:rPr>
              <w:t xml:space="preserve">β</w:t>
            </w:r>
            <w:r>
              <w:rPr>
                <w:sz w:val="16"/>
                <w:szCs w:val="16"/>
              </w:rPr>
              <w:t xml:space="preserve"> = 0, 12, 25 µm</w:t>
            </w:r>
          </w:p>
        </w:tc>
        <w:tc>
          <w:tcPr>
            <w:tcW w:w="165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Y (</w:t>
            </w:r>
            <w:r>
              <w:rPr>
                <w:i/>
                <w:iCs/>
                <w:sz w:val="16"/>
                <w:szCs w:val="16"/>
              </w:rPr>
              <w:t xml:space="preserve">h</w:t>
            </w:r>
            <w:r>
              <w:rPr>
                <w:sz w:val="16"/>
                <w:szCs w:val="16"/>
              </w:rPr>
              <w:t xml:space="preserve"> = 0, ±1, ±2 × </w:t>
            </w:r>
            <w:r>
              <w:rPr>
                <w:sz w:val="16"/>
                <w:szCs w:val="16"/>
              </w:rPr>
              <w:t xml:space="preserve">10</w:t>
            </w:r>
            <w:r>
              <w:rPr>
                <w:sz w:val="16"/>
                <w:szCs w:val="16"/>
                <w:vertAlign w:val="superscript"/>
              </w:rPr>
              <w:t xml:space="preserve">−3</w:t>
            </w:r>
            <w:r>
              <w:rPr>
                <w:sz w:val="16"/>
                <w:szCs w:val="16"/>
              </w:rPr>
              <w:t xml:space="preserve"> m/m)</w:t>
            </w:r>
          </w:p>
        </w:tc>
        <w:tc>
          <w:tcPr>
            <w:tcW w:w="13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Y (calculated: 17 µm at 200 N·m)</w:t>
            </w:r>
          </w:p>
        </w:tc>
        <w:tc>
          <w:tcPr>
            <w:tcW w:w="125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Y (5 root gauges)</w:t>
            </w:r>
          </w:p>
        </w:tc>
        <w:tc>
          <w:tcPr>
            <w:tcW w:w="12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P (data at 200 N·m)</w:t>
            </w:r>
          </w:p>
        </w:tc>
        <w:tc>
          <w:tcPr>
            <w:tcW w:w="52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w:t>
            </w:r>
          </w:p>
        </w:tc>
      </w:tr>
      <w:tr>
        <w:trPr>
          <w:cantSplit/>
        </w:trPr>
        <w:tc>
          <w:tcPr>
            <w:tcW w:w="165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Hotait et al. [5]</w:t>
            </w:r>
          </w:p>
        </w:tc>
        <w:tc>
          <w:tcPr>
            <w:tcW w:w="15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Hypoid, face-hobbed</w:t>
            </w:r>
          </w:p>
        </w:tc>
        <w:tc>
          <w:tcPr>
            <w:tcW w:w="165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Y (</w:t>
            </w:r>
            <w:r>
              <w:rPr>
                <w:i/>
                <w:iCs/>
                <w:sz w:val="16"/>
                <w:szCs w:val="16"/>
              </w:rPr>
              <w:t xml:space="preserve">V</w:t>
            </w:r>
            <w:r>
              <w:rPr>
                <w:sz w:val="16"/>
                <w:szCs w:val="16"/>
              </w:rPr>
              <w:t xml:space="preserve">, </w:t>
            </w:r>
            <w:r>
              <w:rPr>
                <w:i/>
                <w:iCs/>
                <w:sz w:val="16"/>
                <w:szCs w:val="16"/>
              </w:rPr>
              <w:t xml:space="preserve">H</w:t>
            </w:r>
            <w:r>
              <w:rPr>
                <w:sz w:val="16"/>
                <w:szCs w:val="16"/>
              </w:rPr>
              <w:t xml:space="preserve">, </w:t>
            </w:r>
            <w:r>
              <w:rPr>
                <w:i/>
                <w:iCs/>
                <w:sz w:val="16"/>
                <w:szCs w:val="16"/>
              </w:rPr>
              <w:t xml:space="preserve">G</w:t>
            </w:r>
            <w:r>
              <w:rPr>
                <w:sz w:val="16"/>
                <w:szCs w:val="16"/>
              </w:rPr>
              <w:t xml:space="preserve">, </w:t>
            </w:r>
            <w:r>
              <w:rPr>
                <w:i/>
                <w:iCs/>
                <w:sz w:val="16"/>
                <w:szCs w:val="16"/>
              </w:rPr>
              <w:t xml:space="preserve">γ</w:t>
            </w:r>
            <w:r>
              <w:rPr>
                <w:sz w:val="16"/>
                <w:szCs w:val="16"/>
              </w:rPr>
              <w:t xml:space="preserve">)</w:t>
            </w:r>
          </w:p>
        </w:tc>
        <w:tc>
          <w:tcPr>
            <w:tcW w:w="13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w:t>
            </w:r>
          </w:p>
        </w:tc>
        <w:tc>
          <w:tcPr>
            <w:tcW w:w="125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Y (5 root gauges)</w:t>
            </w:r>
          </w:p>
        </w:tc>
        <w:tc>
          <w:tcPr>
            <w:tcW w:w="12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P (300 N·m shown)</w:t>
            </w:r>
          </w:p>
        </w:tc>
        <w:tc>
          <w:tcPr>
            <w:tcW w:w="52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w:t>
            </w:r>
          </w:p>
        </w:tc>
      </w:tr>
      <w:tr>
        <w:trPr>
          <w:cantSplit/>
        </w:trPr>
        <w:tc>
          <w:tcPr>
            <w:tcW w:w="165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Ligata et al. [23]; Singh et al. [17]</w:t>
            </w:r>
          </w:p>
        </w:tc>
        <w:tc>
          <w:tcPr>
            <w:tcW w:w="15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Planetary, </w:t>
            </w:r>
            <w:r>
              <w:rPr>
                <w:i/>
                <w:iCs/>
                <w:sz w:val="16"/>
                <w:szCs w:val="16"/>
              </w:rPr>
              <w:t xml:space="preserve">n</w:t>
            </w:r>
            <w:r>
              <w:rPr>
                <w:sz w:val="16"/>
                <w:szCs w:val="16"/>
              </w:rPr>
              <w:t xml:space="preserve"> = 3–6</w:t>
            </w:r>
          </w:p>
        </w:tc>
        <w:tc>
          <w:tcPr>
            <w:tcW w:w="165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Y (0, ±35, ±70 µm)</w:t>
            </w:r>
          </w:p>
        </w:tc>
        <w:tc>
          <w:tcPr>
            <w:tcW w:w="13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P (bearing stiffness)</w:t>
            </w:r>
          </w:p>
        </w:tc>
        <w:tc>
          <w:tcPr>
            <w:tcW w:w="125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Y (ring root strain)</w:t>
            </w:r>
          </w:p>
        </w:tc>
        <w:tc>
          <w:tcPr>
            <w:tcW w:w="12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Y (600–1000 N·m)</w:t>
            </w:r>
          </w:p>
        </w:tc>
        <w:tc>
          <w:tcPr>
            <w:tcW w:w="52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w:t>
            </w:r>
          </w:p>
        </w:tc>
      </w:tr>
      <w:tr>
        <w:trPr>
          <w:cantSplit/>
        </w:trPr>
        <w:tc>
          <w:tcPr>
            <w:tcW w:w="165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Kim et al. [24]</w:t>
            </w:r>
          </w:p>
        </w:tc>
        <w:tc>
          <w:tcPr>
            <w:tcW w:w="15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Industrial planetary, </w:t>
            </w:r>
            <w:r>
              <w:rPr>
                <w:i/>
                <w:iCs/>
                <w:sz w:val="16"/>
                <w:szCs w:val="16"/>
              </w:rPr>
              <w:t xml:space="preserve">n</w:t>
            </w:r>
            <w:r>
              <w:rPr>
                <w:sz w:val="16"/>
                <w:szCs w:val="16"/>
              </w:rPr>
              <w:t xml:space="preserve"> = 6</w:t>
            </w:r>
          </w:p>
        </w:tc>
        <w:tc>
          <w:tcPr>
            <w:tcW w:w="165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Y (measured pinholes)</w:t>
            </w:r>
          </w:p>
        </w:tc>
        <w:tc>
          <w:tcPr>
            <w:tcW w:w="13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w:t>
            </w:r>
          </w:p>
        </w:tc>
        <w:tc>
          <w:tcPr>
            <w:tcW w:w="125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Y (pin strain)</w:t>
            </w:r>
          </w:p>
        </w:tc>
        <w:tc>
          <w:tcPr>
            <w:tcW w:w="12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Y (25–100%)</w:t>
            </w:r>
          </w:p>
        </w:tc>
        <w:tc>
          <w:tcPr>
            <w:tcW w:w="52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w:t>
            </w:r>
          </w:p>
        </w:tc>
      </w:tr>
      <w:tr>
        <w:trPr>
          <w:cantSplit/>
        </w:trPr>
        <w:tc>
          <w:tcPr>
            <w:tcW w:w="165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Kim et al. [25]</w:t>
            </w:r>
          </w:p>
        </w:tc>
        <w:tc>
          <w:tcPr>
            <w:tcW w:w="15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Industrial planetary, </w:t>
            </w:r>
            <w:r>
              <w:rPr>
                <w:i/>
                <w:iCs/>
                <w:sz w:val="16"/>
                <w:szCs w:val="16"/>
              </w:rPr>
              <w:t xml:space="preserve">n</w:t>
            </w:r>
            <w:r>
              <w:rPr>
                <w:sz w:val="16"/>
                <w:szCs w:val="16"/>
              </w:rPr>
              <w:t xml:space="preserve"> = 6</w:t>
            </w:r>
          </w:p>
        </w:tc>
        <w:tc>
          <w:tcPr>
            <w:tcW w:w="165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Y (measured pinholes)</w:t>
            </w:r>
          </w:p>
        </w:tc>
        <w:tc>
          <w:tcPr>
            <w:tcW w:w="13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w:t>
            </w:r>
          </w:p>
        </w:tc>
        <w:tc>
          <w:tcPr>
            <w:tcW w:w="125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Y (pin strain)</w:t>
            </w:r>
          </w:p>
        </w:tc>
        <w:tc>
          <w:tcPr>
            <w:tcW w:w="12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Y (25–125%)</w:t>
            </w:r>
          </w:p>
        </w:tc>
        <w:tc>
          <w:tcPr>
            <w:tcW w:w="52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w:t>
            </w:r>
          </w:p>
        </w:tc>
      </w:tr>
      <w:tr>
        <w:trPr>
          <w:cantSplit/>
        </w:trPr>
        <w:tc>
          <w:tcPr>
            <w:tcW w:w="165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Dong et al. [20]</w:t>
            </w:r>
          </w:p>
        </w:tc>
        <w:tc>
          <w:tcPr>
            <w:tcW w:w="15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Wind-turbine helical planetary, </w:t>
            </w:r>
            <w:r>
              <w:rPr>
                <w:i/>
                <w:iCs/>
                <w:sz w:val="16"/>
                <w:szCs w:val="16"/>
              </w:rPr>
              <w:t xml:space="preserve">n</w:t>
            </w:r>
            <w:r>
              <w:rPr>
                <w:sz w:val="16"/>
                <w:szCs w:val="16"/>
              </w:rPr>
              <w:t xml:space="preserve"> = 3, 4</w:t>
            </w:r>
          </w:p>
        </w:tc>
        <w:tc>
          <w:tcPr>
            <w:tcW w:w="165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Y (measured 3D pinhole errors)</w:t>
            </w:r>
          </w:p>
        </w:tc>
        <w:tc>
          <w:tcPr>
            <w:tcW w:w="13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w:t>
            </w:r>
          </w:p>
        </w:tc>
        <w:tc>
          <w:tcPr>
            <w:tcW w:w="125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Y (ring root strain across the face width)</w:t>
            </w:r>
          </w:p>
        </w:tc>
        <w:tc>
          <w:tcPr>
            <w:tcW w:w="12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Y (25–100%)</w:t>
            </w:r>
          </w:p>
        </w:tc>
        <w:tc>
          <w:tcPr>
            <w:tcW w:w="52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w:t>
            </w:r>
          </w:p>
        </w:tc>
      </w:tr>
      <w:tr>
        <w:trPr>
          <w:cantSplit/>
        </w:trPr>
        <w:tc>
          <w:tcPr>
            <w:tcW w:w="165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Kumar et al. [6]</w:t>
            </w:r>
          </w:p>
        </w:tc>
        <w:tc>
          <w:tcPr>
            <w:tcW w:w="15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Spur, unloaded</w:t>
            </w:r>
          </w:p>
        </w:tc>
        <w:tc>
          <w:tcPr>
            <w:tcW w:w="165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Y (axial, radial, angular)</w:t>
            </w:r>
          </w:p>
        </w:tc>
        <w:tc>
          <w:tcPr>
            <w:tcW w:w="13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n.a.</w:t>
            </w:r>
          </w:p>
        </w:tc>
        <w:tc>
          <w:tcPr>
            <w:tcW w:w="125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P (contact area)</w:t>
            </w:r>
          </w:p>
        </w:tc>
        <w:tc>
          <w:tcPr>
            <w:tcW w:w="12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w:t>
            </w:r>
          </w:p>
        </w:tc>
        <w:tc>
          <w:tcPr>
            <w:tcW w:w="52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w:t>
            </w:r>
          </w:p>
        </w:tc>
      </w:tr>
      <w:tr>
        <w:trPr>
          <w:cantSplit/>
        </w:trPr>
        <w:tc>
          <w:tcPr>
            <w:tcW w:w="1650" w:type="dxa"/>
            <w:tcBorders>
              <w:top w:val="nil"/>
              <w:left w:val="nil"/>
              <w:bottom w:val="single" w:sz="6" w:space="0" w:color="000000"/>
              <w:right w:val="nil"/>
            </w:tcBorders>
            <w:tcMar>
              <w:top w:w="30" w:type="dxa"/>
              <w:left w:w="60" w:type="dxa"/>
              <w:bottom w:w="30" w:type="dxa"/>
              <w:right w:w="60" w:type="dxa"/>
            </w:tcMar>
          </w:tcPr>
          <w:p>
            <w:pPr>
              <w:spacing w:before="0" w:after="0" w:line="240" w:lineRule="auto"/>
              <w:jc w:val="left"/>
            </w:pPr>
            <w:r>
              <w:rPr>
                <w:sz w:val="16"/>
                <w:szCs w:val="16"/>
              </w:rPr>
              <w:t xml:space="preserve">Xiong and Chen [30]</w:t>
            </w:r>
          </w:p>
        </w:tc>
        <w:tc>
          <w:tcPr>
            <w:tcW w:w="1500" w:type="dxa"/>
            <w:tcBorders>
              <w:top w:val="nil"/>
              <w:left w:val="nil"/>
              <w:bottom w:val="single" w:sz="6" w:space="0" w:color="000000"/>
              <w:right w:val="nil"/>
            </w:tcBorders>
            <w:tcMar>
              <w:top w:w="30" w:type="dxa"/>
              <w:left w:w="60" w:type="dxa"/>
              <w:bottom w:w="30" w:type="dxa"/>
              <w:right w:w="60" w:type="dxa"/>
            </w:tcMar>
          </w:tcPr>
          <w:p>
            <w:pPr>
              <w:spacing w:before="0" w:after="0" w:line="240" w:lineRule="auto"/>
              <w:jc w:val="left"/>
            </w:pPr>
            <w:r>
              <w:rPr>
                <w:sz w:val="16"/>
                <w:szCs w:val="16"/>
              </w:rPr>
              <w:t xml:space="preserve">Spur, crowned</w:t>
            </w:r>
          </w:p>
        </w:tc>
        <w:tc>
          <w:tcPr>
            <w:tcW w:w="1650" w:type="dxa"/>
            <w:tcBorders>
              <w:top w:val="nil"/>
              <w:left w:val="nil"/>
              <w:bottom w:val="single" w:sz="6" w:space="0" w:color="000000"/>
              <w:right w:val="nil"/>
            </w:tcBorders>
            <w:tcMar>
              <w:top w:w="30" w:type="dxa"/>
              <w:left w:w="60" w:type="dxa"/>
              <w:bottom w:w="30" w:type="dxa"/>
              <w:right w:w="60" w:type="dxa"/>
            </w:tcMar>
          </w:tcPr>
          <w:p>
            <w:pPr>
              <w:spacing w:before="0" w:after="0" w:line="240" w:lineRule="auto"/>
              <w:jc w:val="left"/>
            </w:pPr>
            <w:r>
              <w:rPr>
                <w:sz w:val="16"/>
                <w:szCs w:val="16"/>
              </w:rPr>
              <w:t xml:space="preserve">P (eccentric sleeve; value not given)</w:t>
            </w:r>
          </w:p>
        </w:tc>
        <w:tc>
          <w:tcPr>
            <w:tcW w:w="1300" w:type="dxa"/>
            <w:tcBorders>
              <w:top w:val="nil"/>
              <w:left w:val="nil"/>
              <w:bottom w:val="single" w:sz="6" w:space="0" w:color="000000"/>
              <w:right w:val="nil"/>
            </w:tcBorders>
            <w:tcMar>
              <w:top w:w="30" w:type="dxa"/>
              <w:left w:w="60" w:type="dxa"/>
              <w:bottom w:w="30" w:type="dxa"/>
              <w:right w:w="60" w:type="dxa"/>
            </w:tcMar>
          </w:tcPr>
          <w:p>
            <w:pPr>
              <w:spacing w:before="0" w:after="0" w:line="240" w:lineRule="auto"/>
              <w:jc w:val="left"/>
            </w:pPr>
            <w:r>
              <w:rPr>
                <w:sz w:val="16"/>
                <w:szCs w:val="16"/>
              </w:rPr>
              <w:t xml:space="preserve">–</w:t>
            </w:r>
          </w:p>
        </w:tc>
        <w:tc>
          <w:tcPr>
            <w:tcW w:w="1250" w:type="dxa"/>
            <w:tcBorders>
              <w:top w:val="nil"/>
              <w:left w:val="nil"/>
              <w:bottom w:val="single" w:sz="6" w:space="0" w:color="000000"/>
              <w:right w:val="nil"/>
            </w:tcBorders>
            <w:tcMar>
              <w:top w:w="30" w:type="dxa"/>
              <w:left w:w="60" w:type="dxa"/>
              <w:bottom w:w="30" w:type="dxa"/>
              <w:right w:w="60" w:type="dxa"/>
            </w:tcMar>
          </w:tcPr>
          <w:p>
            <w:pPr>
              <w:spacing w:before="0" w:after="0" w:line="240" w:lineRule="auto"/>
              <w:jc w:val="left"/>
            </w:pPr>
            <w:r>
              <w:rPr>
                <w:sz w:val="16"/>
                <w:szCs w:val="16"/>
              </w:rPr>
              <w:t xml:space="preserve">–</w:t>
            </w:r>
          </w:p>
        </w:tc>
        <w:tc>
          <w:tcPr>
            <w:tcW w:w="1200" w:type="dxa"/>
            <w:tcBorders>
              <w:top w:val="nil"/>
              <w:left w:val="nil"/>
              <w:bottom w:val="single" w:sz="6" w:space="0" w:color="000000"/>
              <w:right w:val="nil"/>
            </w:tcBorders>
            <w:tcMar>
              <w:top w:w="30" w:type="dxa"/>
              <w:left w:w="60" w:type="dxa"/>
              <w:bottom w:w="30" w:type="dxa"/>
              <w:right w:w="60" w:type="dxa"/>
            </w:tcMar>
          </w:tcPr>
          <w:p>
            <w:pPr>
              <w:spacing w:before="0" w:after="0" w:line="240" w:lineRule="auto"/>
              <w:jc w:val="left"/>
            </w:pPr>
            <w:r>
              <w:rPr>
                <w:sz w:val="16"/>
                <w:szCs w:val="16"/>
              </w:rPr>
              <w:t xml:space="preserve">P (0 and 30 N·m)</w:t>
            </w:r>
          </w:p>
        </w:tc>
        <w:tc>
          <w:tcPr>
            <w:tcW w:w="520" w:type="dxa"/>
            <w:tcBorders>
              <w:top w:val="nil"/>
              <w:left w:val="nil"/>
              <w:bottom w:val="single" w:sz="6" w:space="0" w:color="000000"/>
              <w:right w:val="nil"/>
            </w:tcBorders>
            <w:tcMar>
              <w:top w:w="30" w:type="dxa"/>
              <w:left w:w="60" w:type="dxa"/>
              <w:bottom w:w="30" w:type="dxa"/>
              <w:right w:w="60" w:type="dxa"/>
            </w:tcMar>
          </w:tcPr>
          <w:p>
            <w:pPr>
              <w:spacing w:before="0" w:after="0" w:line="240" w:lineRule="auto"/>
              <w:jc w:val="left"/>
            </w:pPr>
            <w:r>
              <w:rPr>
                <w:sz w:val="16"/>
                <w:szCs w:val="16"/>
              </w:rPr>
              <w:t xml:space="preserve">Y</w:t>
            </w:r>
          </w:p>
        </w:tc>
      </w:tr>
    </w:tbl>
    <w:p>
      <w:pPr>
        <w:spacing w:before="0" w:after="60" w:line="240" w:lineRule="auto"/>
        <w:jc w:val="both"/>
      </w:pPr>
    </w:p>
    <w:p>
      <w:pPr>
        <w:pStyle w:val="Balk1"/>
        <w:keepNext/>
        <w:spacing w:before="240" w:after="120"/>
      </w:pPr>
      <w:r>
        <w:t xml:space="preserve">3 Methodology</w:t>
      </w:r>
    </w:p>
    <w:p>
      <w:pPr>
        <w:pStyle w:val="Balk2"/>
        <w:keepNext/>
        <w:spacing w:before="180" w:after="80"/>
      </w:pPr>
      <w:r>
        <w:t xml:space="preserve">3.1 Compliance Ratio</w:t>
      </w:r>
    </w:p>
    <w:p>
      <w:pPr>
        <w:spacing w:before="0" w:after="120" w:line="264" w:lineRule="auto"/>
        <w:jc w:val="both"/>
      </w:pPr>
      <w:r>
        <w:t xml:space="preserve">The descriptor compares the geometric mismatch that misalignment imposes on a load path with the elastic deflection of that path under its mean load:</w:t>
      </w:r>
    </w:p>
    <w:p>
      <w:pPr>
        <w:keepLines/>
        <w:tabs>
          <w:tab w:val="center" w:pos="4535"/>
          <w:tab w:val="right" w:pos="9070"/>
        </w:tabs>
        <w:spacing w:before="80" w:after="80"/>
      </w:pPr>
      <w:r>
        <w:tab/>
      </w:r>
      <m:oMath>
        <m:r>
          <m:rPr>
            <m:sty m:val="i"/>
          </m:rPr>
          <w:rPr>
            <w:rFonts w:ascii="Cambria Math" w:hAnsi="Cambria Math"/>
          </w:rPr>
          <m:t xml:space="preserve">Π</m:t>
        </m:r>
        <m:r>
          <m:rPr>
            <m:sty m:val="p"/>
          </m:rPr>
          <w:rPr>
            <w:rFonts w:ascii="Cambria Math" w:hAnsi="Cambria Math"/>
          </w:rPr>
          <m:t xml:space="preserve">=</m:t>
        </m:r>
        <m:f>
          <m:fPr>
            <m:ctrlPr>
              <w:rPr>
                <w:rFonts w:ascii="Cambria Math" w:hAnsi="Cambria Math"/>
              </w:rPr>
            </m:ctrlPr>
          </m:fPr>
          <m:num>
            <m:sSub>
              <m:sSubPr>
                <m:ctrlPr>
                  <w:rPr>
                    <w:rFonts w:ascii="Cambria Math" w:hAnsi="Cambria Math"/>
                  </w:rPr>
                </m:ctrlPr>
              </m:sSubPr>
              <m:e>
                <m:r>
                  <w:rPr>
                    <w:rFonts w:ascii="Cambria Math" w:hAnsi="Cambria Math"/>
                  </w:rPr>
                  <m:t xml:space="preserve">e</m:t>
                </m:r>
              </m:e>
              <m:sub>
                <m:r>
                  <m:rPr>
                    <m:sty m:val="p"/>
                  </m:rPr>
                  <w:rPr>
                    <w:rFonts w:ascii="Cambria Math" w:hAnsi="Cambria Math"/>
                  </w:rPr>
                  <m:t xml:space="preserve">eff</m:t>
                </m:r>
              </m:sub>
            </m:sSub>
          </m:num>
          <m:den>
            <m:sSub>
              <m:sSubPr>
                <m:ctrlPr>
                  <w:rPr>
                    <w:rFonts w:ascii="Cambria Math" w:hAnsi="Cambria Math"/>
                  </w:rPr>
                </m:ctrlPr>
              </m:sSubPr>
              <m:e>
                <m:r>
                  <w:rPr>
                    <w:rFonts w:ascii="Cambria Math" w:hAnsi="Cambria Math"/>
                  </w:rPr>
                  <m:t xml:space="preserve">δ</m:t>
                </m:r>
              </m:e>
              <m:sub>
                <m:r>
                  <m:rPr>
                    <m:sty m:val="p"/>
                  </m:rPr>
                  <w:rPr>
                    <w:rFonts w:ascii="Cambria Math" w:hAnsi="Cambria Math"/>
                  </w:rPr>
                  <m:t xml:space="preserve">eff</m:t>
                </m:r>
              </m:sub>
            </m:sSub>
          </m:den>
        </m:f>
        <m:r>
          <w:rPr>
            <w:rFonts w:ascii="Cambria Math" w:hAnsi="Cambria Math"/>
          </w:rPr>
          <m:t xml:space="preserve">,  </m:t>
        </m:r>
        <m:sSub>
          <m:sSubPr>
            <m:ctrlPr>
              <w:rPr>
                <w:rFonts w:ascii="Cambria Math" w:hAnsi="Cambria Math"/>
              </w:rPr>
            </m:ctrlPr>
          </m:sSubPr>
          <m:e>
            <m:r>
              <w:rPr>
                <w:rFonts w:ascii="Cambria Math" w:hAnsi="Cambria Math"/>
              </w:rPr>
              <m:t xml:space="preserve">δ</m:t>
            </m:r>
          </m:e>
          <m:sub>
            <m:r>
              <m:rPr>
                <m:sty m:val="p"/>
              </m:rPr>
              <w:rPr>
                <w:rFonts w:ascii="Cambria Math" w:hAnsi="Cambria Math"/>
              </w:rPr>
              <m:t xml:space="preserve">eff</m:t>
            </m:r>
          </m:sub>
        </m:sSub>
        <m:r>
          <m:rPr>
            <m:sty m:val="p"/>
          </m:rPr>
          <w:rPr>
            <w:rFonts w:ascii="Cambria Math" w:hAnsi="Cambria Math"/>
          </w:rPr>
          <m:t xml:space="preserve">=</m:t>
        </m:r>
        <m:f>
          <m:fPr>
            <m:ctrlPr>
              <w:rPr>
                <w:rFonts w:ascii="Cambria Math" w:hAnsi="Cambria Math"/>
              </w:rPr>
            </m:ctrlPr>
          </m:fPr>
          <m:num>
            <m:sSub>
              <m:sSubPr>
                <m:ctrlPr>
                  <w:rPr>
                    <w:rFonts w:ascii="Cambria Math" w:hAnsi="Cambria Math"/>
                  </w:rPr>
                </m:ctrlPr>
              </m:sSubPr>
              <m:e>
                <m:r>
                  <w:rPr>
                    <w:rFonts w:ascii="Cambria Math" w:hAnsi="Cambria Math"/>
                  </w:rPr>
                  <m:t xml:space="preserve">w</m:t>
                </m:r>
              </m:e>
              <m:sub>
                <m:r>
                  <m:rPr>
                    <m:sty m:val="p"/>
                  </m:rPr>
                  <w:rPr>
                    <w:rFonts w:ascii="Cambria Math" w:hAnsi="Cambria Math"/>
                  </w:rPr>
                  <m:t xml:space="preserve">m</m:t>
                </m:r>
              </m:sub>
            </m:sSub>
          </m:num>
          <m:den>
            <m:sSub>
              <m:sSubPr>
                <m:ctrlPr>
                  <w:rPr>
                    <w:rFonts w:ascii="Cambria Math" w:hAnsi="Cambria Math"/>
                  </w:rPr>
                </m:ctrlPr>
              </m:sSubPr>
              <m:e>
                <m:r>
                  <w:rPr>
                    <w:rFonts w:ascii="Cambria Math" w:hAnsi="Cambria Math"/>
                  </w:rPr>
                  <m:t xml:space="preserve">c</m:t>
                </m:r>
              </m:e>
              <m:sub>
                <m:r>
                  <m:rPr>
                    <m:sty m:val="p"/>
                  </m:rPr>
                  <w:rPr>
                    <w:rFonts w:ascii="Cambria Math" w:hAnsi="Cambria Math"/>
                  </w:rPr>
                  <m:t xml:space="preserve">eff</m:t>
                </m:r>
              </m:sub>
            </m:sSub>
          </m:den>
        </m:f>
      </m:oMath>
      <w:r>
        <w:tab/>
        <w:t>(1)</w:t>
      </w:r>
    </w:p>
    <w:p>
      <w:pPr>
        <w:spacing w:before="0" w:after="120" w:line="264" w:lineRule="auto"/>
        <w:jc w:val="both"/>
      </w:pPr>
      <w:r>
        <w:t xml:space="preserve">where </w:t>
      </w:r>
      <w:r>
        <w:rPr>
          <w:i/>
          <w:iCs/>
        </w:rPr>
        <w:t xml:space="preserve">e</w:t>
      </w:r>
      <w:r>
        <w:rPr>
          <w:vertAlign w:val="subscript"/>
        </w:rPr>
        <w:t xml:space="preserve">eff</w:t>
      </w:r>
      <w:r>
        <w:t xml:space="preserve"> (µm) is the mismatch at the end of the path (the lead mismatch across the face width, or the tangential pinhole position error of a planet), </w:t>
      </w:r>
      <w:r>
        <w:rPr>
          <w:i/>
          <w:iCs/>
        </w:rPr>
        <w:t xml:space="preserve">δ</w:t>
      </w:r>
      <w:r>
        <w:rPr>
          <w:vertAlign w:val="subscript"/>
        </w:rPr>
        <w:t xml:space="preserve">eff</w:t>
      </w:r>
      <w:r>
        <w:t xml:space="preserve"> (µm) is the effective elastic deflection under the mean load </w:t>
      </w:r>
      <w:r>
        <w:rPr>
          <w:i/>
          <w:iCs/>
        </w:rPr>
        <w:t xml:space="preserve">w</w:t>
      </w:r>
      <w:r>
        <w:rPr>
          <w:vertAlign w:val="subscript"/>
        </w:rPr>
        <w:t xml:space="preserve">m</w:t>
      </w:r>
      <w:r>
        <w:t xml:space="preserve"> (per unit face width for a mesh, per planet for a planetary set), and </w:t>
      </w:r>
      <w:r>
        <w:rPr>
          <w:i/>
          <w:iCs/>
        </w:rPr>
        <w:t xml:space="preserve">c</w:t>
      </w:r>
      <w:r>
        <w:rPr>
          <w:vertAlign w:val="subscript"/>
        </w:rPr>
        <w:t xml:space="preserve">eff</w:t>
      </w:r>
      <w:r>
        <w:t xml:space="preserve"> is the effective path stiffness. For </w:t>
      </w:r>
      <w:r>
        <w:rPr>
          <w:i/>
          <w:iCs/>
        </w:rPr>
        <w:t xml:space="preserve">c</w:t>
      </w:r>
      <w:r>
        <w:rPr>
          <w:vertAlign w:val="subscript"/>
        </w:rPr>
        <w:t xml:space="preserve">eff</w:t>
      </w:r>
      <w:r>
        <w:t xml:space="preserve"> equal to the mesh stiffness </w:t>
      </w:r>
      <w:r>
        <w:rPr>
          <w:i/>
          <w:iCs/>
        </w:rPr>
        <w:t xml:space="preserve">c</w:t>
      </w:r>
      <w:r>
        <w:rPr>
          <w:i/>
          <w:iCs/>
          <w:vertAlign w:val="subscript"/>
        </w:rPr>
        <w:t xml:space="preserve">γβ</w:t>
      </w:r>
      <w:r>
        <w:t xml:space="preserve">, </w:t>
      </w:r>
      <w:r>
        <w:rPr>
          <w:i/>
          <w:iCs/>
        </w:rPr>
        <w:t xml:space="preserve">Π</w:t>
      </w:r>
      <w:r>
        <w:t xml:space="preserve"> is the ratio used in ISO 6336-1 Method C [1]. The hypothesis is that redistribution depends on misalignment mainly through </w:t>
      </w:r>
      <w:r>
        <w:rPr>
          <w:i/>
          <w:iCs/>
        </w:rPr>
        <w:t xml:space="preserve">Π</w:t>
      </w:r>
      <w:r>
        <w:t xml:space="preserve">, and that </w:t>
      </w:r>
      <w:r>
        <w:rPr>
          <w:i/>
          <w:iCs/>
        </w:rPr>
        <w:t xml:space="preserve">c</w:t>
      </w:r>
      <w:r>
        <w:rPr>
          <w:vertAlign w:val="subscript"/>
        </w:rPr>
        <w:t xml:space="preserve">eff</w:t>
      </w:r>
      <w:r>
        <w:t xml:space="preserve"> is a property of the whole load path, including shafts, bearings, pins and rims, rather than of the mesh alone.</w:t>
      </w:r>
    </w:p>
    <w:p>
      <w:pPr>
        <w:pStyle w:val="Balk2"/>
        <w:keepNext/>
        <w:spacing w:before="180" w:after="80"/>
      </w:pPr>
      <w:r>
        <w:t xml:space="preserve">3.2 Face-Width Redistribution Model</w:t>
      </w:r>
    </w:p>
    <w:p>
      <w:pPr>
        <w:spacing w:before="0" w:after="120" w:line="264" w:lineRule="auto"/>
        <w:jc w:val="both"/>
      </w:pPr>
      <w:r>
        <w:t xml:space="preserve">For a parallel-axis pair, the load intensity along the face width is represented by the slice (Winkler) model</w:t>
      </w:r>
    </w:p>
    <w:p>
      <w:pPr>
        <w:keepLines/>
        <w:tabs>
          <w:tab w:val="center" w:pos="4535"/>
          <w:tab w:val="right" w:pos="9070"/>
        </w:tabs>
        <w:spacing w:before="80" w:after="80"/>
      </w:pPr>
      <w:r>
        <w:tab/>
      </w:r>
      <m:oMath>
        <m:r>
          <w:rPr>
            <w:rFonts w:ascii="Cambria Math" w:hAnsi="Cambria Math"/>
          </w:rPr>
          <m:t xml:space="preserve">w</m:t>
        </m:r>
        <m:d>
          <m:dPr>
            <m:begChr m:val="("/>
            <m:endChr m:val=")"/>
            <m:ctrlPr>
              <w:rPr>
                <w:rFonts w:ascii="Cambria Math" w:hAnsi="Cambria Math"/>
              </w:rPr>
            </m:ctrlPr>
          </m:dPr>
          <m:e>
            <m:r>
              <w:rPr>
                <w:rFonts w:ascii="Cambria Math" w:hAnsi="Cambria Math"/>
              </w:rPr>
              <m:t xml:space="preserve">ζ</m:t>
            </m:r>
          </m:e>
        </m:d>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c</m:t>
            </m:r>
          </m:e>
          <m:sub>
            <m:r>
              <m:rPr>
                <m:sty m:val="p"/>
              </m:rPr>
              <w:rPr>
                <w:rFonts w:ascii="Cambria Math" w:hAnsi="Cambria Math"/>
              </w:rPr>
              <m:t xml:space="preserve">eff</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 xml:space="preserve">δ</m:t>
                </m:r>
              </m:e>
              <m:sub>
                <m:r>
                  <m:rPr>
                    <m:sty m:val="p"/>
                  </m:rPr>
                  <w:rPr>
                    <w:rFonts w:ascii="Cambria Math" w:hAnsi="Cambria Math"/>
                  </w:rPr>
                  <m:t xml:space="preserve">0</m:t>
                </m:r>
              </m:sub>
            </m:sSub>
            <m:r>
              <m:rPr>
                <m:sty m:val="p"/>
              </m:rPr>
              <w:rPr>
                <w:rFonts w:ascii="Cambria Math" w:hAnsi="Cambria Math"/>
              </w:rPr>
              <m:t xml:space="preserve">−</m:t>
            </m:r>
            <m:r>
              <w:rPr>
                <w:rFonts w:ascii="Cambria Math" w:hAnsi="Cambria Math"/>
              </w:rPr>
              <m:t xml:space="preserve">g</m:t>
            </m:r>
            <m:d>
              <m:dPr>
                <m:begChr m:val="("/>
                <m:endChr m:val=")"/>
                <m:ctrlPr>
                  <w:rPr>
                    <w:rFonts w:ascii="Cambria Math" w:hAnsi="Cambria Math"/>
                  </w:rPr>
                </m:ctrlPr>
              </m:dPr>
              <m:e>
                <m:r>
                  <w:rPr>
                    <w:rFonts w:ascii="Cambria Math" w:hAnsi="Cambria Math"/>
                  </w:rPr>
                  <m:t xml:space="preserve">ζ</m:t>
                </m:r>
              </m:e>
            </m:d>
          </m:e>
        </m:d>
        <m:r>
          <w:rPr>
            <w:rFonts w:ascii="Cambria Math" w:hAnsi="Cambria Math"/>
          </w:rPr>
          <m:t xml:space="preserve">,  </m:t>
        </m:r>
        <m:r>
          <w:rPr>
            <w:rFonts w:ascii="Cambria Math" w:hAnsi="Cambria Math"/>
          </w:rPr>
          <m:t xml:space="preserve">g</m:t>
        </m:r>
        <m:d>
          <m:dPr>
            <m:begChr m:val="("/>
            <m:endChr m:val=")"/>
            <m:ctrlPr>
              <w:rPr>
                <w:rFonts w:ascii="Cambria Math" w:hAnsi="Cambria Math"/>
              </w:rPr>
            </m:ctrlPr>
          </m:dPr>
          <m:e>
            <m:r>
              <w:rPr>
                <w:rFonts w:ascii="Cambria Math" w:hAnsi="Cambria Math"/>
              </w:rPr>
              <m:t xml:space="preserve">ζ</m:t>
            </m:r>
          </m:e>
        </m:d>
        <m:r>
          <m:rPr>
            <m:sty m:val="p"/>
          </m:rPr>
          <w:rPr>
            <w:rFonts w:ascii="Cambria Math" w:hAnsi="Cambria Math"/>
          </w:rPr>
          <m:t xml:space="preserve">=</m:t>
        </m:r>
        <m:r>
          <m:rPr>
            <m:sty m:val="p"/>
          </m:rPr>
          <w:rPr>
            <w:rFonts w:ascii="Cambria Math" w:hAnsi="Cambria Math"/>
          </w:rPr>
          <m:t xml:space="preserve">−</m:t>
        </m:r>
        <m:d>
          <m:dPr>
            <m:begChr m:val="("/>
            <m:endChr m:val=")"/>
            <m:ctrlPr>
              <w:rPr>
                <w:rFonts w:ascii="Cambria Math" w:hAnsi="Cambria Math"/>
              </w:rPr>
            </m:ctrlPr>
          </m:dPr>
          <m:e>
            <m:r>
              <w:rPr>
                <w:rFonts w:ascii="Cambria Math" w:hAnsi="Cambria Math"/>
              </w:rPr>
              <m:t xml:space="preserve">h</m:t>
            </m:r>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h</m:t>
                </m:r>
              </m:e>
              <m:sub>
                <m:r>
                  <m:rPr>
                    <m:sty m:val="p"/>
                  </m:rPr>
                  <w:rPr>
                    <w:rFonts w:ascii="Cambria Math" w:hAnsi="Cambria Math"/>
                  </w:rPr>
                  <m:t xml:space="preserve">0</m:t>
                </m:r>
              </m:sub>
            </m:sSub>
          </m:e>
        </m:d>
        <m:r>
          <w:rPr>
            <w:rFonts w:ascii="Cambria Math" w:hAnsi="Cambria Math"/>
          </w:rPr>
          <m:t xml:space="preserve">bζ</m:t>
        </m:r>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C</m:t>
            </m:r>
          </m:e>
          <m:sub>
            <m:r>
              <w:rPr>
                <w:rFonts w:ascii="Cambria Math" w:hAnsi="Cambria Math"/>
              </w:rPr>
              <m:t xml:space="preserve">β</m:t>
            </m:r>
          </m:sub>
        </m:sSub>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 xml:space="preserve">2</m:t>
                </m:r>
                <m:r>
                  <w:rPr>
                    <w:rFonts w:ascii="Cambria Math" w:hAnsi="Cambria Math"/>
                  </w:rPr>
                  <m:t xml:space="preserve">ζ</m:t>
                </m:r>
              </m:e>
            </m:d>
          </m:e>
          <m:sup>
            <m:r>
              <m:rPr>
                <m:sty m:val="p"/>
              </m:rPr>
              <w:rPr>
                <w:rFonts w:ascii="Cambria Math" w:hAnsi="Cambria Math"/>
              </w:rPr>
              <m:t xml:space="preserve">2</m:t>
            </m:r>
          </m:sup>
        </m:sSup>
      </m:oMath>
      <w:r>
        <w:tab/>
        <w:t>(2)</w:t>
      </w:r>
    </w:p>
    <w:p>
      <w:pPr>
        <w:spacing w:before="0" w:after="120" w:line="264" w:lineRule="auto"/>
        <w:jc w:val="both"/>
      </w:pPr>
      <w:r>
        <w:t xml:space="preserve">where </w:t>
      </w:r>
      <w:r>
        <w:rPr>
          <w:i/>
          <w:iCs/>
        </w:rPr>
        <w:t xml:space="preserve">ζ</w:t>
      </w:r>
      <w:r>
        <w:t xml:space="preserve"> = </w:t>
      </w:r>
      <w:r>
        <w:rPr>
          <w:i/>
          <w:iCs/>
        </w:rPr>
        <w:t xml:space="preserve">z</w:t>
      </w:r>
      <w:r>
        <w:t xml:space="preserve">/</w:t>
      </w:r>
      <w:r>
        <w:rPr>
          <w:i/>
          <w:iCs/>
        </w:rPr>
        <w:t xml:space="preserve">b</w:t>
      </w:r>
      <w:r>
        <w:t xml:space="preserve"> − 1/2 is the normalised face-width coordinate, </w:t>
      </w:r>
      <w:r>
        <w:rPr>
          <w:i/>
          <w:iCs/>
        </w:rPr>
        <w:t xml:space="preserve">z</w:t>
      </w:r>
      <w:r>
        <w:t xml:space="preserve"> the position from the reference edge, </w:t>
      </w:r>
      <w:r>
        <w:rPr>
          <w:i/>
          <w:iCs/>
        </w:rPr>
        <w:t xml:space="preserve">b</w:t>
      </w:r>
      <w:r>
        <w:t xml:space="preserve"> the face width, ⟨·⟩ the positive part (the contact carries no tension), </w:t>
      </w:r>
      <w:r>
        <w:rPr>
          <w:i/>
          <w:iCs/>
        </w:rPr>
        <w:t xml:space="preserve">δ</w:t>
      </w:r>
      <w:r>
        <w:rPr>
          <w:vertAlign w:val="subscript"/>
        </w:rPr>
        <w:t xml:space="preserve">0</w:t>
      </w:r>
      <w:r>
        <w:t xml:space="preserve"> the rigid-body approach fixed by the load balance, </w:t>
      </w:r>
      <w:r>
        <w:rPr>
          <w:i/>
          <w:iCs/>
        </w:rPr>
        <w:t xml:space="preserve">g</w:t>
      </w:r>
      <w:r>
        <w:t xml:space="preserve">(</w:t>
      </w:r>
      <w:r>
        <w:rPr>
          <w:i/>
          <w:iCs/>
        </w:rPr>
        <w:t xml:space="preserve">ζ</w:t>
      </w:r>
      <w:r>
        <w:t xml:space="preserve">) the unloaded separation, </w:t>
      </w:r>
      <w:r>
        <w:rPr>
          <w:i/>
          <w:iCs/>
        </w:rPr>
        <w:t xml:space="preserve">h</w:t>
      </w:r>
      <w:r>
        <w:t xml:space="preserve"> the imposed misalignment slope (m/m), </w:t>
      </w:r>
      <w:r>
        <w:rPr>
          <w:i/>
          <w:iCs/>
        </w:rPr>
        <w:t xml:space="preserve">h</w:t>
      </w:r>
      <w:r>
        <w:rPr>
          <w:vertAlign w:val="subscript"/>
        </w:rPr>
        <w:t xml:space="preserve">0</w:t>
      </w:r>
      <w:r>
        <w:t xml:space="preserve"> an effective residual misalignment of the rig and </w:t>
      </w:r>
      <w:r>
        <w:rPr>
          <w:i/>
          <w:iCs/>
        </w:rPr>
        <w:t xml:space="preserve">C</w:t>
      </w:r>
      <w:r>
        <w:rPr>
          <w:i/>
          <w:iCs/>
          <w:vertAlign w:val="subscript"/>
        </w:rPr>
        <w:t xml:space="preserve">β</w:t>
      </w:r>
      <w:r>
        <w:t xml:space="preserve"> the lead crown height at the face ends. Models of this type underlie ISO 6336-1 Annex E [1] and slice-based load distribution models [20]. For an uncrowned pair in full contact, Eq. (2) gives a linear distribution with the normalised slope</w:t>
      </w:r>
    </w:p>
    <w:p>
      <w:pPr>
        <w:keepLines/>
        <w:tabs>
          <w:tab w:val="center" w:pos="4535"/>
          <w:tab w:val="right" w:pos="9070"/>
        </w:tabs>
        <w:spacing w:before="80" w:after="80"/>
      </w:pPr>
      <w:r>
        <w:tab/>
      </w:r>
      <m:oMath>
        <m:r>
          <w:rPr>
            <w:rFonts w:ascii="Cambria Math" w:hAnsi="Cambria Math"/>
          </w:rPr>
          <m:t xml:space="preserve">S</m:t>
        </m:r>
        <m:r>
          <m:rPr>
            <m:sty m:val="p"/>
          </m:rPr>
          <w:rPr>
            <w:rFonts w:ascii="Cambria Math" w:hAnsi="Cambria Math"/>
          </w:rPr>
          <m:t xml:space="preserve">=</m:t>
        </m:r>
        <m:f>
          <m:fPr>
            <m:ctrlPr>
              <w:rPr>
                <w:rFonts w:ascii="Cambria Math" w:hAnsi="Cambria Math"/>
              </w:rPr>
            </m:ctrlPr>
          </m:fPr>
          <m:num>
            <m:r>
              <m:rPr>
                <m:sty m:val="p"/>
              </m:rPr>
              <w:rPr>
                <w:rFonts w:ascii="Cambria Math" w:hAnsi="Cambria Math"/>
              </w:rPr>
              <m:t xml:space="preserve">d</m:t>
            </m:r>
            <m:d>
              <m:dPr>
                <m:begChr m:val="("/>
                <m:endChr m:val=")"/>
                <m:ctrlPr>
                  <w:rPr>
                    <w:rFonts w:ascii="Cambria Math" w:hAnsi="Cambria Math"/>
                  </w:rPr>
                </m:ctrlPr>
              </m:dPr>
              <m:e>
                <m:r>
                  <w:rPr>
                    <w:rFonts w:ascii="Cambria Math" w:hAnsi="Cambria Math"/>
                  </w:rPr>
                  <m:t xml:space="preserve">w</m:t>
                </m:r>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w</m:t>
                    </m:r>
                  </m:e>
                  <m:sub>
                    <m:r>
                      <m:rPr>
                        <m:sty m:val="p"/>
                      </m:rPr>
                      <w:rPr>
                        <w:rFonts w:ascii="Cambria Math" w:hAnsi="Cambria Math"/>
                      </w:rPr>
                      <m:t xml:space="preserve">m</m:t>
                    </m:r>
                  </m:sub>
                </m:sSub>
              </m:e>
            </m:d>
          </m:num>
          <m:den>
            <m:r>
              <m:rPr>
                <m:sty m:val="p"/>
              </m:rPr>
              <w:rPr>
                <w:rFonts w:ascii="Cambria Math" w:hAnsi="Cambria Math"/>
              </w:rPr>
              <m:t xml:space="preserve">d</m:t>
            </m:r>
            <m:r>
              <w:rPr>
                <w:rFonts w:ascii="Cambria Math" w:hAnsi="Cambria Math"/>
              </w:rPr>
              <m:t xml:space="preserve">ζ</m:t>
            </m:r>
          </m:den>
        </m:f>
        <m:r>
          <m:rPr>
            <m:sty m:val="p"/>
          </m:rPr>
          <w:rPr>
            <w:rFonts w:ascii="Cambria Math" w:hAnsi="Cambria Math"/>
          </w:rPr>
          <m:t xml:space="preserve">=</m:t>
        </m:r>
        <m:r>
          <w:rPr>
            <w:rFonts w:ascii="Cambria Math" w:hAnsi="Cambria Math"/>
          </w:rPr>
          <m:t xml:space="preserve">κ</m:t>
        </m:r>
        <m:r>
          <m:rPr>
            <m:sty m:val="i"/>
          </m:rPr>
          <w:rPr>
            <w:rFonts w:ascii="Cambria Math" w:hAnsi="Cambria Math"/>
          </w:rPr>
          <m:t xml:space="preserve">Π</m:t>
        </m:r>
        <m:r>
          <w:rPr>
            <w:rFonts w:ascii="Cambria Math" w:hAnsi="Cambria Math"/>
          </w:rPr>
          <m:t xml:space="preserve">,  </m:t>
        </m:r>
        <m:r>
          <m:rPr>
            <m:sty m:val="i"/>
          </m:rPr>
          <w:rPr>
            <w:rFonts w:ascii="Cambria Math" w:hAnsi="Cambria Math"/>
          </w:rPr>
          <m:t xml:space="preserve">Π</m:t>
        </m:r>
        <m:r>
          <m:rPr>
            <m:sty m:val="p"/>
          </m:rPr>
          <w:rPr>
            <w:rFonts w:ascii="Cambria Math" w:hAnsi="Cambria Math"/>
          </w:rPr>
          <m:t xml:space="preserve">=</m:t>
        </m:r>
        <m:f>
          <m:fPr>
            <m:ctrlPr>
              <w:rPr>
                <w:rFonts w:ascii="Cambria Math" w:hAnsi="Cambria Math"/>
              </w:rPr>
            </m:ctrlPr>
          </m:fPr>
          <m:num>
            <m:d>
              <m:dPr>
                <m:begChr m:val="("/>
                <m:endChr m:val=")"/>
                <m:ctrlPr>
                  <w:rPr>
                    <w:rFonts w:ascii="Cambria Math" w:hAnsi="Cambria Math"/>
                  </w:rPr>
                </m:ctrlPr>
              </m:dPr>
              <m:e>
                <m:r>
                  <w:rPr>
                    <w:rFonts w:ascii="Cambria Math" w:hAnsi="Cambria Math"/>
                  </w:rPr>
                  <m:t xml:space="preserve">h</m:t>
                </m:r>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h</m:t>
                    </m:r>
                  </m:e>
                  <m:sub>
                    <m:r>
                      <m:rPr>
                        <m:sty m:val="p"/>
                      </m:rPr>
                      <w:rPr>
                        <w:rFonts w:ascii="Cambria Math" w:hAnsi="Cambria Math"/>
                      </w:rPr>
                      <m:t xml:space="preserve">0</m:t>
                    </m:r>
                  </m:sub>
                </m:sSub>
              </m:e>
            </m:d>
            <m:r>
              <w:rPr>
                <w:rFonts w:ascii="Cambria Math" w:hAnsi="Cambria Math"/>
              </w:rPr>
              <m:t xml:space="preserve">b</m:t>
            </m:r>
          </m:num>
          <m:den>
            <m:sSub>
              <m:sSubPr>
                <m:ctrlPr>
                  <w:rPr>
                    <w:rFonts w:ascii="Cambria Math" w:hAnsi="Cambria Math"/>
                  </w:rPr>
                </m:ctrlPr>
              </m:sSubPr>
              <m:e>
                <m:r>
                  <w:rPr>
                    <w:rFonts w:ascii="Cambria Math" w:hAnsi="Cambria Math"/>
                  </w:rPr>
                  <m:t xml:space="preserve">δ</m:t>
                </m:r>
              </m:e>
              <m:sub>
                <m:r>
                  <m:rPr>
                    <m:sty m:val="p"/>
                  </m:rPr>
                  <w:rPr>
                    <w:rFonts w:ascii="Cambria Math" w:hAnsi="Cambria Math"/>
                  </w:rPr>
                  <m:t xml:space="preserve">m</m:t>
                </m:r>
              </m:sub>
            </m:sSub>
          </m:den>
        </m:f>
      </m:oMath>
      <w:r>
        <w:tab/>
        <w:t>(3)</w:t>
      </w:r>
    </w:p>
    <w:p>
      <w:pPr>
        <w:spacing w:before="0" w:after="120" w:line="264" w:lineRule="auto"/>
        <w:jc w:val="both"/>
      </w:pPr>
      <w:r>
        <w:t xml:space="preserve">where </w:t>
      </w:r>
      <w:r>
        <w:rPr>
          <w:i/>
          <w:iCs/>
        </w:rPr>
        <w:t xml:space="preserve">δ</w:t>
      </w:r>
      <w:r>
        <w:rPr>
          <w:vertAlign w:val="subscript"/>
        </w:rPr>
        <w:t xml:space="preserve">m</w:t>
      </w:r>
      <w:r>
        <w:t xml:space="preserve"> is the mean mesh deflection, so that </w:t>
      </w:r>
      <w:r>
        <w:rPr>
          <w:i/>
          <w:iCs/>
        </w:rPr>
        <w:t xml:space="preserve">Π</w:t>
      </w:r>
      <w:r>
        <w:t xml:space="preserve"> follows from Eq. (1) with </w:t>
      </w:r>
      <w:r>
        <w:rPr>
          <w:i/>
          <w:iCs/>
        </w:rPr>
        <w:t xml:space="preserve">e</w:t>
      </w:r>
      <w:r>
        <w:rPr>
          <w:vertAlign w:val="subscript"/>
        </w:rPr>
        <w:t xml:space="preserve">eff</w:t>
      </w:r>
      <w:r>
        <w:t xml:space="preserve"> = (</w:t>
      </w:r>
      <w:r>
        <w:rPr>
          <w:i/>
          <w:iCs/>
        </w:rPr>
        <w:t xml:space="preserve">h</w:t>
      </w:r>
      <w:r>
        <w:t xml:space="preserve"> + </w:t>
      </w:r>
      <w:r>
        <w:rPr>
          <w:i/>
          <w:iCs/>
        </w:rPr>
        <w:t xml:space="preserve">h</w:t>
      </w:r>
      <w:r>
        <w:rPr>
          <w:vertAlign w:val="subscript"/>
        </w:rPr>
        <w:t xml:space="preserve">0</w:t>
      </w:r>
      <w:r>
        <w:t xml:space="preserve">)</w:t>
      </w:r>
      <w:r>
        <w:rPr>
          <w:i/>
          <w:iCs/>
        </w:rPr>
        <w:t xml:space="preserve">b</w:t>
      </w:r>
      <w:r>
        <w:t xml:space="preserve"> expressed in micrometres, and </w:t>
      </w:r>
      <w:r>
        <w:rPr>
          <w:i/>
          <w:iCs/>
        </w:rPr>
        <w:t xml:space="preserve">κ</w:t>
      </w:r>
      <w:r>
        <w:t xml:space="preserve"> is an empirical transfer coefficient; slice theory gives </w:t>
      </w:r>
      <w:r>
        <w:rPr>
          <w:i/>
          <w:iCs/>
        </w:rPr>
        <w:t xml:space="preserve">κ</w:t>
      </w:r>
      <w:r>
        <w:t xml:space="preserve"> = 1 while |</w:t>
      </w:r>
      <w:r>
        <w:rPr>
          <w:i/>
          <w:iCs/>
        </w:rPr>
        <w:t xml:space="preserve">Π</w:t>
      </w:r>
      <w:r>
        <w:t xml:space="preserve">| ≤ 2, i.e. while the whole face width is in contact. The ISO 6336-1 Method C baseline uses the same ratio [1]:</w:t>
      </w:r>
    </w:p>
    <w:p>
      <w:pPr>
        <w:keepLines/>
        <w:tabs>
          <w:tab w:val="center" w:pos="4535"/>
          <w:tab w:val="right" w:pos="9070"/>
        </w:tabs>
        <w:spacing w:before="80" w:after="80"/>
      </w:pPr>
      <w:r>
        <w:tab/>
      </w:r>
      <m:oMath>
        <m:sSub>
          <m:sSubPr>
            <m:ctrlPr>
              <w:rPr>
                <w:rFonts w:ascii="Cambria Math" w:hAnsi="Cambria Math"/>
              </w:rPr>
            </m:ctrlPr>
          </m:sSubPr>
          <m:e>
            <m:r>
              <w:rPr>
                <w:rFonts w:ascii="Cambria Math" w:hAnsi="Cambria Math"/>
              </w:rPr>
              <m:t xml:space="preserve">K</m:t>
            </m:r>
          </m:e>
          <m:sub>
            <m:r>
              <w:rPr>
                <w:rFonts w:ascii="Cambria Math" w:hAnsi="Cambria Math"/>
              </w:rPr>
              <m:t xml:space="preserve">Hβ</m:t>
            </m:r>
          </m:sub>
        </m:sSub>
        <m:r>
          <m:rPr>
            <m:sty m:val="p"/>
          </m:rPr>
          <w:rPr>
            <w:rFonts w:ascii="Cambria Math" w:hAnsi="Cambria Math"/>
          </w:rPr>
          <m:t xml:space="preserve">=</m:t>
        </m:r>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 xml:space="preserve">1+</m:t>
                </m:r>
                <m:f>
                  <m:fPr>
                    <m:ctrlPr>
                      <w:rPr>
                        <w:rFonts w:ascii="Cambria Math" w:hAnsi="Cambria Math"/>
                      </w:rPr>
                    </m:ctrlPr>
                  </m:fPr>
                  <m:num>
                    <m:d>
                      <m:dPr>
                        <m:begChr m:val="|"/>
                        <m:endChr m:val="|"/>
                        <m:ctrlPr>
                          <w:rPr>
                            <w:rFonts w:ascii="Cambria Math" w:hAnsi="Cambria Math"/>
                          </w:rPr>
                        </m:ctrlPr>
                      </m:dPr>
                      <m:e>
                        <m:r>
                          <m:rPr>
                            <m:sty m:val="i"/>
                          </m:rPr>
                          <w:rPr>
                            <w:rFonts w:ascii="Cambria Math" w:hAnsi="Cambria Math"/>
                          </w:rPr>
                          <m:t xml:space="preserve">Π</m:t>
                        </m:r>
                      </m:e>
                    </m:d>
                  </m:num>
                  <m:den>
                    <m:r>
                      <m:rPr>
                        <m:sty m:val="p"/>
                      </m:rPr>
                      <w:rPr>
                        <w:rFonts w:ascii="Cambria Math" w:hAnsi="Cambria Math"/>
                      </w:rPr>
                      <m:t xml:space="preserve">2</m:t>
                    </m:r>
                  </m:den>
                </m:f>
                <m:r>
                  <m:rPr>
                    <m:sty m:val="p"/>
                  </m:rPr>
                  <w:rPr>
                    <w:rFonts w:ascii="Cambria Math" w:hAnsi="Cambria Math"/>
                  </w:rPr>
                  <m:t xml:space="preserve">,  </m:t>
                </m:r>
                <m:d>
                  <m:dPr>
                    <m:begChr m:val="|"/>
                    <m:endChr m:val="|"/>
                    <m:ctrlPr>
                      <w:rPr>
                        <w:rFonts w:ascii="Cambria Math" w:hAnsi="Cambria Math"/>
                      </w:rPr>
                    </m:ctrlPr>
                  </m:dPr>
                  <m:e>
                    <m:r>
                      <m:rPr>
                        <m:sty m:val="i"/>
                      </m:rPr>
                      <w:rPr>
                        <w:rFonts w:ascii="Cambria Math" w:hAnsi="Cambria Math"/>
                      </w:rPr>
                      <m:t xml:space="preserve">Π</m:t>
                    </m:r>
                  </m:e>
                </m:d>
                <m:r>
                  <m:rPr>
                    <m:sty m:val="p"/>
                  </m:rPr>
                  <w:rPr>
                    <w:rFonts w:ascii="Cambria Math" w:hAnsi="Cambria Math"/>
                  </w:rPr>
                  <m:t xml:space="preserve">≤2</m:t>
                </m:r>
              </m:e>
              <m:e>
                <m:rad>
                  <m:radPr>
                    <m:degHide m:val="1"/>
                    <m:ctrlPr>
                      <w:rPr>
                        <w:rFonts w:ascii="Cambria Math" w:hAnsi="Cambria Math"/>
                      </w:rPr>
                    </m:ctrlPr>
                  </m:radPr>
                  <m:deg/>
                  <m:e>
                    <m:r>
                      <m:rPr>
                        <m:sty m:val="p"/>
                      </m:rPr>
                      <w:rPr>
                        <w:rFonts w:ascii="Cambria Math" w:hAnsi="Cambria Math"/>
                      </w:rPr>
                      <m:t xml:space="preserve">2</m:t>
                    </m:r>
                    <m:d>
                      <m:dPr>
                        <m:begChr m:val="|"/>
                        <m:endChr m:val="|"/>
                        <m:ctrlPr>
                          <w:rPr>
                            <w:rFonts w:ascii="Cambria Math" w:hAnsi="Cambria Math"/>
                          </w:rPr>
                        </m:ctrlPr>
                      </m:dPr>
                      <m:e>
                        <m:r>
                          <m:rPr>
                            <m:sty m:val="i"/>
                          </m:rPr>
                          <w:rPr>
                            <w:rFonts w:ascii="Cambria Math" w:hAnsi="Cambria Math"/>
                          </w:rPr>
                          <m:t xml:space="preserve">Π</m:t>
                        </m:r>
                      </m:e>
                    </m:d>
                  </m:e>
                </m:rad>
                <m:r>
                  <m:rPr>
                    <m:sty m:val="p"/>
                  </m:rPr>
                  <w:rPr>
                    <w:rFonts w:ascii="Cambria Math" w:hAnsi="Cambria Math"/>
                  </w:rPr>
                  <m:t xml:space="preserve">,  </m:t>
                </m:r>
                <m:d>
                  <m:dPr>
                    <m:begChr m:val="|"/>
                    <m:endChr m:val="|"/>
                    <m:ctrlPr>
                      <w:rPr>
                        <w:rFonts w:ascii="Cambria Math" w:hAnsi="Cambria Math"/>
                      </w:rPr>
                    </m:ctrlPr>
                  </m:dPr>
                  <m:e>
                    <m:r>
                      <m:rPr>
                        <m:sty m:val="i"/>
                      </m:rPr>
                      <w:rPr>
                        <w:rFonts w:ascii="Cambria Math" w:hAnsi="Cambria Math"/>
                      </w:rPr>
                      <m:t xml:space="preserve">Π</m:t>
                    </m:r>
                  </m:e>
                </m:d>
                <m:r>
                  <m:rPr>
                    <m:sty m:val="p"/>
                  </m:rPr>
                  <w:rPr>
                    <w:rFonts w:ascii="Cambria Math" w:hAnsi="Cambria Math"/>
                  </w:rPr>
                  <m:t xml:space="preserve">&gt;2</m:t>
                </m:r>
              </m:e>
            </m:eqArr>
          </m:e>
        </m:d>
        <m:r>
          <w:rPr>
            <w:rFonts w:ascii="Cambria Math" w:hAnsi="Cambria Math"/>
          </w:rPr>
          <m:t xml:space="preserve">,  </m:t>
        </m:r>
        <m:sSub>
          <m:sSubPr>
            <m:ctrlPr>
              <w:rPr>
                <w:rFonts w:ascii="Cambria Math" w:hAnsi="Cambria Math"/>
              </w:rPr>
            </m:ctrlPr>
          </m:sSubPr>
          <m:e>
            <m:r>
              <w:rPr>
                <w:rFonts w:ascii="Cambria Math" w:hAnsi="Cambria Math"/>
              </w:rPr>
              <m:t xml:space="preserve">K</m:t>
            </m:r>
          </m:e>
          <m:sub>
            <m:r>
              <w:rPr>
                <w:rFonts w:ascii="Cambria Math" w:hAnsi="Cambria Math"/>
              </w:rPr>
              <m:t xml:space="preserve">Fβ</m:t>
            </m:r>
          </m:sub>
        </m:sSub>
        <m:r>
          <m:rPr>
            <m:sty m:val="p"/>
          </m:rPr>
          <w:rPr>
            <w:rFonts w:ascii="Cambria Math" w:hAnsi="Cambria Math"/>
          </w:rPr>
          <m:t xml:space="preserve">=</m:t>
        </m:r>
        <m:sSubSup>
          <m:sSubSupPr>
            <m:ctrlPr>
              <w:rPr>
                <w:rFonts w:ascii="Cambria Math" w:hAnsi="Cambria Math"/>
              </w:rPr>
            </m:ctrlPr>
          </m:sSubSupPr>
          <m:e>
            <m:r>
              <w:rPr>
                <w:rFonts w:ascii="Cambria Math" w:hAnsi="Cambria Math"/>
              </w:rPr>
              <m:t xml:space="preserve">K</m:t>
            </m:r>
          </m:e>
          <m:sub>
            <m:r>
              <w:rPr>
                <w:rFonts w:ascii="Cambria Math" w:hAnsi="Cambria Math"/>
              </w:rPr>
              <m:t xml:space="preserve">Hβ</m:t>
            </m:r>
          </m:sub>
          <m:sup>
            <m:sSub>
              <m:sSubPr>
                <m:ctrlPr>
                  <w:rPr>
                    <w:rFonts w:ascii="Cambria Math" w:hAnsi="Cambria Math"/>
                  </w:rPr>
                </m:ctrlPr>
              </m:sSubPr>
              <m:e>
                <m:r>
                  <w:rPr>
                    <w:rFonts w:ascii="Cambria Math" w:hAnsi="Cambria Math"/>
                  </w:rPr>
                  <m:t xml:space="preserve">N</m:t>
                </m:r>
              </m:e>
              <m:sub>
                <m:r>
                  <w:rPr>
                    <w:rFonts w:ascii="Cambria Math" w:hAnsi="Cambria Math"/>
                  </w:rPr>
                  <m:t xml:space="preserve">F</m:t>
                </m:r>
              </m:sub>
            </m:sSub>
          </m:sup>
        </m:sSubSup>
      </m:oMath>
      <w:r>
        <w:tab/>
        <w:t>(4)</w:t>
      </w:r>
    </w:p>
    <w:p>
      <w:pPr>
        <w:spacing w:before="0" w:after="120" w:line="264" w:lineRule="auto"/>
        <w:jc w:val="both"/>
      </w:pPr>
      <w:r>
        <w:t xml:space="preserve">where </w:t>
      </w:r>
      <w:r>
        <w:rPr>
          <w:i/>
          <w:iCs/>
        </w:rPr>
        <w:t xml:space="preserve">Π</w:t>
      </w:r>
      <w:r>
        <w:t xml:space="preserve"> is taken from Eq. (3) with </w:t>
      </w:r>
      <w:r>
        <w:rPr>
          <w:i/>
          <w:iCs/>
        </w:rPr>
        <w:t xml:space="preserve">κ</w:t>
      </w:r>
      <w:r>
        <w:t xml:space="preserve"> = 1, application and dynamic factors of 1 and no running-in allowance; </w:t>
      </w:r>
      <w:r>
        <w:rPr>
          <w:i/>
          <w:iCs/>
        </w:rPr>
        <w:t xml:space="preserve">K</w:t>
      </w:r>
      <w:r>
        <w:rPr>
          <w:i/>
          <w:iCs/>
          <w:vertAlign w:val="subscript"/>
        </w:rPr>
        <w:t xml:space="preserve">Hβ</w:t>
      </w:r>
      <w:r>
        <w:t xml:space="preserve"> and </w:t>
      </w:r>
      <w:r>
        <w:rPr>
          <w:i/>
          <w:iCs/>
        </w:rPr>
        <w:t xml:space="preserve">K</w:t>
      </w:r>
      <w:r>
        <w:rPr>
          <w:i/>
          <w:iCs/>
          <w:vertAlign w:val="subscript"/>
        </w:rPr>
        <w:t xml:space="preserve">Fβ</w:t>
      </w:r>
      <w:r>
        <w:t xml:space="preserve"> are the face load factors for contact and root stress, </w:t>
      </w:r>
      <w:r>
        <w:rPr>
          <w:i/>
          <w:iCs/>
        </w:rPr>
        <w:t xml:space="preserve">N</w:t>
      </w:r>
      <w:r>
        <w:rPr>
          <w:i/>
          <w:iCs/>
          <w:vertAlign w:val="subscript"/>
        </w:rPr>
        <w:t xml:space="preserve">F</w:t>
      </w:r>
      <w:r>
        <w:t xml:space="preserve"> = (</w:t>
      </w:r>
      <w:r>
        <w:rPr>
          <w:i/>
          <w:iCs/>
        </w:rPr>
        <w:t xml:space="preserve">b</w:t>
      </w:r>
      <w:r>
        <w:t xml:space="preserve">/</w:t>
      </w:r>
      <w:r>
        <w:rPr>
          <w:i/>
          <w:iCs/>
        </w:rPr>
        <w:t xml:space="preserve">h</w:t>
      </w:r>
      <w:r>
        <w:rPr>
          <w:vertAlign w:val="subscript"/>
        </w:rPr>
        <w:t xml:space="preserve">t</w:t>
      </w:r>
      <w:r>
        <w:t xml:space="preserve">)</w:t>
      </w:r>
      <w:r>
        <w:rPr>
          <w:vertAlign w:val="superscript"/>
        </w:rPr>
        <w:t xml:space="preserve">2</w:t>
      </w:r>
      <w:r>
        <w:t xml:space="preserve">/[1 + </w:t>
      </w:r>
      <w:r>
        <w:rPr>
          <w:i/>
          <w:iCs/>
        </w:rPr>
        <w:t xml:space="preserve">b</w:t>
      </w:r>
      <w:r>
        <w:t xml:space="preserve">/</w:t>
      </w:r>
      <w:r>
        <w:rPr>
          <w:i/>
          <w:iCs/>
        </w:rPr>
        <w:t xml:space="preserve">h</w:t>
      </w:r>
      <w:r>
        <w:rPr>
          <w:vertAlign w:val="subscript"/>
        </w:rPr>
        <w:t xml:space="preserve">t</w:t>
      </w:r>
      <w:r>
        <w:t xml:space="preserve"> + (</w:t>
      </w:r>
      <w:r>
        <w:rPr>
          <w:i/>
          <w:iCs/>
        </w:rPr>
        <w:t xml:space="preserve">b</w:t>
      </w:r>
      <w:r>
        <w:t xml:space="preserve">/</w:t>
      </w:r>
      <w:r>
        <w:rPr>
          <w:i/>
          <w:iCs/>
        </w:rPr>
        <w:t xml:space="preserve">h</w:t>
      </w:r>
      <w:r>
        <w:rPr>
          <w:vertAlign w:val="subscript"/>
        </w:rPr>
        <w:t xml:space="preserve">t</w:t>
      </w:r>
      <w:r>
        <w:t xml:space="preserve">)</w:t>
      </w:r>
      <w:r>
        <w:rPr>
          <w:vertAlign w:val="superscript"/>
        </w:rPr>
        <w:t xml:space="preserve">2</w:t>
      </w:r>
      <w:r>
        <w:t xml:space="preserve">], and </w:t>
      </w:r>
      <w:r>
        <w:rPr>
          <w:i/>
          <w:iCs/>
        </w:rPr>
        <w:t xml:space="preserve">h</w:t>
      </w:r>
      <w:r>
        <w:rPr>
          <w:vertAlign w:val="subscript"/>
        </w:rPr>
        <w:t xml:space="preserve">t</w:t>
      </w:r>
      <w:r>
        <w:t xml:space="preserve"> is the tooth depth. The change of branch at |</w:t>
      </w:r>
      <w:r>
        <w:rPr>
          <w:i/>
          <w:iCs/>
        </w:rPr>
        <w:t xml:space="preserve">Π</w:t>
      </w:r>
      <w:r>
        <w:t xml:space="preserve">| = 2 marks the loss of contact at one face end. Measured root strain was used as a proxy for the local load intensity; because root strain spreads over a finite length of the face width, the proxy smooths the distribution near the face ends.</w:t>
      </w:r>
    </w:p>
    <w:p>
      <w:pPr>
        <w:pStyle w:val="Balk2"/>
        <w:keepNext/>
        <w:spacing w:before="180" w:after="80"/>
      </w:pPr>
      <w:r>
        <w:t xml:space="preserve">3.3 Planet-to-Planet Redistribution Model</w:t>
      </w:r>
    </w:p>
    <w:p>
      <w:pPr>
        <w:spacing w:before="0" w:after="120" w:line="264" w:lineRule="auto"/>
        <w:jc w:val="both"/>
      </w:pPr>
      <w:r>
        <w:t xml:space="preserve">Each sun–planet–ring path of an </w:t>
      </w:r>
      <w:r>
        <w:rPr>
          <w:i/>
          <w:iCs/>
        </w:rPr>
        <w:t xml:space="preserve">n</w:t>
      </w:r>
      <w:r>
        <w:t xml:space="preserve">-planet set is represented by a unilateral spring of stiffness </w:t>
      </w:r>
      <w:r>
        <w:rPr>
          <w:i/>
          <w:iCs/>
        </w:rPr>
        <w:t xml:space="preserve">k</w:t>
      </w:r>
      <w:r>
        <w:rPr>
          <w:vertAlign w:val="subscript"/>
        </w:rPr>
        <w:t xml:space="preserve">p</w:t>
      </w:r>
      <w:r>
        <w:t xml:space="preserve">. The sun floats, and planet </w:t>
      </w:r>
      <w:r>
        <w:rPr>
          <w:i/>
          <w:iCs/>
        </w:rPr>
        <w:t xml:space="preserve">i</w:t>
      </w:r>
      <w:r>
        <w:t xml:space="preserve"> at angle </w:t>
      </w:r>
      <w:r>
        <w:rPr>
          <w:i/>
          <w:iCs/>
        </w:rPr>
        <w:t xml:space="preserve">ψ</w:t>
      </w:r>
      <w:r>
        <w:rPr>
          <w:i/>
          <w:iCs/>
          <w:vertAlign w:val="subscript"/>
        </w:rPr>
        <w:t xml:space="preserve">i</w:t>
      </w:r>
      <w:r>
        <w:t xml:space="preserve"> has a tangential pinhole position error </w:t>
      </w:r>
      <w:r>
        <w:rPr>
          <w:i/>
          <w:iCs/>
        </w:rPr>
        <w:t xml:space="preserve">e</w:t>
      </w:r>
      <w:r>
        <w:rPr>
          <w:i/>
          <w:iCs/>
          <w:vertAlign w:val="subscript"/>
        </w:rPr>
        <w:t xml:space="preserve">i</w:t>
      </w:r>
      <w:r>
        <w:t xml:space="preserve">, positive when it advances the planet into mesh. The path loads follow</w:t>
      </w:r>
    </w:p>
    <w:p>
      <w:pPr>
        <w:keepLines/>
        <w:tabs>
          <w:tab w:val="center" w:pos="4535"/>
          <w:tab w:val="right" w:pos="9070"/>
        </w:tabs>
        <w:spacing w:before="80" w:after="80"/>
      </w:pPr>
      <w:r>
        <w:tab/>
      </w:r>
      <m:oMath>
        <m:eqArr>
          <m:eqArrPr>
            <m:ctrlPr>
              <w:rPr>
                <w:rFonts w:ascii="Cambria Math" w:hAnsi="Cambria Math"/>
              </w:rPr>
            </m:ctrlPr>
          </m:eqArrPr>
          <m:e>
            <m:sSub>
              <m:sSubPr>
                <m:ctrlPr>
                  <w:rPr>
                    <w:rFonts w:ascii="Cambria Math" w:hAnsi="Cambria Math"/>
                  </w:rPr>
                </m:ctrlPr>
              </m:sSubPr>
              <m:e>
                <m:r>
                  <w:rPr>
                    <w:rFonts w:ascii="Cambria Math" w:hAnsi="Cambria Math"/>
                  </w:rPr>
                  <m:t xml:space="preserve">F</m:t>
                </m:r>
              </m:e>
              <m:sub>
                <m:r>
                  <w:rPr>
                    <w:rFonts w:ascii="Cambria Math" w:hAnsi="Cambria Math"/>
                  </w:rPr>
                  <m:t xml:space="preserve">i</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k</m:t>
                </m:r>
              </m:e>
              <m:sub>
                <m:r>
                  <m:rPr>
                    <m:sty m:val="p"/>
                  </m:rPr>
                  <w:rPr>
                    <w:rFonts w:ascii="Cambria Math" w:hAnsi="Cambria Math"/>
                  </w:rPr>
                  <m:t xml:space="preserve">p</m:t>
                </m:r>
              </m:sub>
            </m:sSub>
            <m:d>
              <m:dPr>
                <m:begChr m:val="⟨"/>
                <m:endChr m:val="⟩"/>
                <m:ctrlPr>
                  <w:rPr>
                    <w:rFonts w:ascii="Cambria Math" w:hAnsi="Cambria Math"/>
                  </w:rPr>
                </m:ctrlPr>
              </m:dPr>
              <m:e>
                <m:r>
                  <w:rPr>
                    <w:rFonts w:ascii="Cambria Math" w:hAnsi="Cambria Math"/>
                  </w:rPr>
                  <m:t xml:space="preserve">u</m:t>
                </m:r>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e</m:t>
                    </m:r>
                  </m:e>
                  <m:sub>
                    <m:r>
                      <w:rPr>
                        <w:rFonts w:ascii="Cambria Math" w:hAnsi="Cambria Math"/>
                      </w:rPr>
                      <m:t xml:space="preserve">i</m:t>
                    </m:r>
                  </m:sub>
                </m:sSub>
                <m:r>
                  <m:rPr>
                    <m:sty m:val="p"/>
                  </m:rPr>
                  <w:rPr>
                    <w:rFonts w:ascii="Cambria Math" w:hAnsi="Cambria Math"/>
                  </w:rPr>
                  <m:t xml:space="preserve">−</m:t>
                </m:r>
                <m:r>
                  <w:rPr>
                    <w:rFonts w:ascii="Cambria Math" w:hAnsi="Cambria Math"/>
                  </w:rPr>
                  <m:t xml:space="preserve">x</m:t>
                </m:r>
                <m:func>
                  <m:funcPr>
                    <m:ctrlPr>
                      <w:rPr>
                        <w:rFonts w:ascii="Cambria Math" w:hAnsi="Cambria Math"/>
                      </w:rPr>
                    </m:ctrlPr>
                  </m:funcPr>
                  <m:fName>
                    <m:r>
                      <m:rPr>
                        <m:sty m:val="p"/>
                      </m:rPr>
                      <w:rPr>
                        <w:rFonts w:ascii="Cambria Math" w:hAnsi="Cambria Math"/>
                      </w:rPr>
                      <m:t xml:space="preserve">sin</m:t>
                    </m:r>
                  </m:fName>
                  <m:e>
                    <m:sSub>
                      <m:sSubPr>
                        <m:ctrlPr>
                          <w:rPr>
                            <w:rFonts w:ascii="Cambria Math" w:hAnsi="Cambria Math"/>
                          </w:rPr>
                        </m:ctrlPr>
                      </m:sSubPr>
                      <m:e>
                        <m:r>
                          <w:rPr>
                            <w:rFonts w:ascii="Cambria Math" w:hAnsi="Cambria Math"/>
                          </w:rPr>
                          <m:t xml:space="preserve">ψ</m:t>
                        </m:r>
                      </m:e>
                      <m:sub>
                        <m:r>
                          <w:rPr>
                            <w:rFonts w:ascii="Cambria Math" w:hAnsi="Cambria Math"/>
                          </w:rPr>
                          <m:t xml:space="preserve">i</m:t>
                        </m:r>
                      </m:sub>
                    </m:sSub>
                  </m:e>
                </m:func>
                <m:r>
                  <m:rPr>
                    <m:sty m:val="p"/>
                  </m:rPr>
                  <w:rPr>
                    <w:rFonts w:ascii="Cambria Math" w:hAnsi="Cambria Math"/>
                  </w:rPr>
                  <m:t xml:space="preserve">+</m:t>
                </m:r>
                <m:r>
                  <w:rPr>
                    <w:rFonts w:ascii="Cambria Math" w:hAnsi="Cambria Math"/>
                  </w:rPr>
                  <m:t xml:space="preserve">y</m:t>
                </m:r>
                <m:func>
                  <m:funcPr>
                    <m:ctrlPr>
                      <w:rPr>
                        <w:rFonts w:ascii="Cambria Math" w:hAnsi="Cambria Math"/>
                      </w:rPr>
                    </m:ctrlPr>
                  </m:funcPr>
                  <m:fName>
                    <m:r>
                      <m:rPr>
                        <m:sty m:val="p"/>
                      </m:rPr>
                      <w:rPr>
                        <w:rFonts w:ascii="Cambria Math" w:hAnsi="Cambria Math"/>
                      </w:rPr>
                      <m:t xml:space="preserve">cos</m:t>
                    </m:r>
                  </m:fName>
                  <m:e>
                    <m:sSub>
                      <m:sSubPr>
                        <m:ctrlPr>
                          <w:rPr>
                            <w:rFonts w:ascii="Cambria Math" w:hAnsi="Cambria Math"/>
                          </w:rPr>
                        </m:ctrlPr>
                      </m:sSubPr>
                      <m:e>
                        <m:r>
                          <w:rPr>
                            <w:rFonts w:ascii="Cambria Math" w:hAnsi="Cambria Math"/>
                          </w:rPr>
                          <m:t xml:space="preserve">ψ</m:t>
                        </m:r>
                      </m:e>
                      <m:sub>
                        <m:r>
                          <w:rPr>
                            <w:rFonts w:ascii="Cambria Math" w:hAnsi="Cambria Math"/>
                          </w:rPr>
                          <m:t xml:space="preserve">i</m:t>
                        </m:r>
                      </m:sub>
                    </m:sSub>
                  </m:e>
                </m:func>
              </m:e>
            </m:d>
          </m:e>
          <m:e>
            <m:nary>
              <m:naryPr>
                <m:chr m:val="∑"/>
                <m:limLoc m:val="undOvr"/>
                <m:supHide m:val="1"/>
                <m:ctrlPr>
                  <w:rPr>
                    <w:rFonts w:ascii="Cambria Math" w:hAnsi="Cambria Math"/>
                  </w:rPr>
                </m:ctrlPr>
              </m:naryPr>
              <m:sub>
                <m:r>
                  <w:rPr>
                    <w:rFonts w:ascii="Cambria Math" w:hAnsi="Cambria Math"/>
                  </w:rPr>
                  <m:t xml:space="preserve">i</m:t>
                </m:r>
              </m:sub>
              <m:sup/>
              <m:e>
                <m:sSub>
                  <m:sSubPr>
                    <m:ctrlPr>
                      <w:rPr>
                        <w:rFonts w:ascii="Cambria Math" w:hAnsi="Cambria Math"/>
                      </w:rPr>
                    </m:ctrlPr>
                  </m:sSubPr>
                  <m:e>
                    <m:r>
                      <w:rPr>
                        <w:rFonts w:ascii="Cambria Math" w:hAnsi="Cambria Math"/>
                      </w:rPr>
                      <m:t xml:space="preserve">F</m:t>
                    </m:r>
                  </m:e>
                  <m:sub>
                    <m:r>
                      <w:rPr>
                        <w:rFonts w:ascii="Cambria Math" w:hAnsi="Cambria Math"/>
                      </w:rPr>
                      <m:t xml:space="preserve">i</m:t>
                    </m:r>
                  </m:sub>
                </m:sSub>
              </m:e>
            </m:nary>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F</m:t>
                </m:r>
              </m:e>
              <m:sub>
                <m:r>
                  <m:rPr>
                    <m:sty m:val="p"/>
                  </m:rPr>
                  <w:rPr>
                    <w:rFonts w:ascii="Cambria Math" w:hAnsi="Cambria Math"/>
                  </w:rPr>
                  <m:t xml:space="preserve">t</m:t>
                </m:r>
              </m:sub>
            </m:sSub>
            <m:r>
              <w:rPr>
                <w:rFonts w:ascii="Cambria Math" w:hAnsi="Cambria Math"/>
              </w:rPr>
              <m:t xml:space="preserve">,  </m:t>
            </m:r>
            <m:nary>
              <m:naryPr>
                <m:chr m:val="∑"/>
                <m:limLoc m:val="undOvr"/>
                <m:supHide m:val="1"/>
                <m:ctrlPr>
                  <w:rPr>
                    <w:rFonts w:ascii="Cambria Math" w:hAnsi="Cambria Math"/>
                  </w:rPr>
                </m:ctrlPr>
              </m:naryPr>
              <m:sub>
                <m:r>
                  <w:rPr>
                    <w:rFonts w:ascii="Cambria Math" w:hAnsi="Cambria Math"/>
                  </w:rPr>
                  <m:t xml:space="preserve">i</m:t>
                </m:r>
              </m:sub>
              <m:sup/>
              <m:e>
                <m:sSub>
                  <m:sSubPr>
                    <m:ctrlPr>
                      <w:rPr>
                        <w:rFonts w:ascii="Cambria Math" w:hAnsi="Cambria Math"/>
                      </w:rPr>
                    </m:ctrlPr>
                  </m:sSubPr>
                  <m:e>
                    <m:r>
                      <w:rPr>
                        <w:rFonts w:ascii="Cambria Math" w:hAnsi="Cambria Math"/>
                      </w:rPr>
                      <m:t xml:space="preserve">F</m:t>
                    </m:r>
                  </m:e>
                  <m:sub>
                    <m:r>
                      <w:rPr>
                        <w:rFonts w:ascii="Cambria Math" w:hAnsi="Cambria Math"/>
                      </w:rPr>
                      <m:t xml:space="preserve">i</m:t>
                    </m:r>
                  </m:sub>
                </m:sSub>
                <m:func>
                  <m:funcPr>
                    <m:ctrlPr>
                      <w:rPr>
                        <w:rFonts w:ascii="Cambria Math" w:hAnsi="Cambria Math"/>
                      </w:rPr>
                    </m:ctrlPr>
                  </m:funcPr>
                  <m:fName>
                    <m:r>
                      <m:rPr>
                        <m:sty m:val="p"/>
                      </m:rPr>
                      <w:rPr>
                        <w:rFonts w:ascii="Cambria Math" w:hAnsi="Cambria Math"/>
                      </w:rPr>
                      <m:t xml:space="preserve">sin</m:t>
                    </m:r>
                  </m:fName>
                  <m:e>
                    <m:sSub>
                      <m:sSubPr>
                        <m:ctrlPr>
                          <w:rPr>
                            <w:rFonts w:ascii="Cambria Math" w:hAnsi="Cambria Math"/>
                          </w:rPr>
                        </m:ctrlPr>
                      </m:sSubPr>
                      <m:e>
                        <m:r>
                          <w:rPr>
                            <w:rFonts w:ascii="Cambria Math" w:hAnsi="Cambria Math"/>
                          </w:rPr>
                          <m:t xml:space="preserve">ψ</m:t>
                        </m:r>
                      </m:e>
                      <m:sub>
                        <m:r>
                          <w:rPr>
                            <w:rFonts w:ascii="Cambria Math" w:hAnsi="Cambria Math"/>
                          </w:rPr>
                          <m:t xml:space="preserve">i</m:t>
                        </m:r>
                      </m:sub>
                    </m:sSub>
                  </m:e>
                </m:func>
              </m:e>
            </m:nary>
            <m:r>
              <m:rPr>
                <m:sty m:val="p"/>
              </m:rPr>
              <w:rPr>
                <w:rFonts w:ascii="Cambria Math" w:hAnsi="Cambria Math"/>
              </w:rPr>
              <m:t xml:space="preserve">=</m:t>
            </m:r>
            <m:nary>
              <m:naryPr>
                <m:chr m:val="∑"/>
                <m:limLoc m:val="undOvr"/>
                <m:supHide m:val="1"/>
                <m:ctrlPr>
                  <w:rPr>
                    <w:rFonts w:ascii="Cambria Math" w:hAnsi="Cambria Math"/>
                  </w:rPr>
                </m:ctrlPr>
              </m:naryPr>
              <m:sub>
                <m:r>
                  <w:rPr>
                    <w:rFonts w:ascii="Cambria Math" w:hAnsi="Cambria Math"/>
                  </w:rPr>
                  <m:t xml:space="preserve">i</m:t>
                </m:r>
              </m:sub>
              <m:sup/>
              <m:e>
                <m:sSub>
                  <m:sSubPr>
                    <m:ctrlPr>
                      <w:rPr>
                        <w:rFonts w:ascii="Cambria Math" w:hAnsi="Cambria Math"/>
                      </w:rPr>
                    </m:ctrlPr>
                  </m:sSubPr>
                  <m:e>
                    <m:r>
                      <w:rPr>
                        <w:rFonts w:ascii="Cambria Math" w:hAnsi="Cambria Math"/>
                      </w:rPr>
                      <m:t xml:space="preserve">F</m:t>
                    </m:r>
                  </m:e>
                  <m:sub>
                    <m:r>
                      <w:rPr>
                        <w:rFonts w:ascii="Cambria Math" w:hAnsi="Cambria Math"/>
                      </w:rPr>
                      <m:t xml:space="preserve">i</m:t>
                    </m:r>
                  </m:sub>
                </m:sSub>
                <m:func>
                  <m:funcPr>
                    <m:ctrlPr>
                      <w:rPr>
                        <w:rFonts w:ascii="Cambria Math" w:hAnsi="Cambria Math"/>
                      </w:rPr>
                    </m:ctrlPr>
                  </m:funcPr>
                  <m:fName>
                    <m:r>
                      <m:rPr>
                        <m:sty m:val="p"/>
                      </m:rPr>
                      <w:rPr>
                        <w:rFonts w:ascii="Cambria Math" w:hAnsi="Cambria Math"/>
                      </w:rPr>
                      <m:t xml:space="preserve">cos</m:t>
                    </m:r>
                  </m:fName>
                  <m:e>
                    <m:sSub>
                      <m:sSubPr>
                        <m:ctrlPr>
                          <w:rPr>
                            <w:rFonts w:ascii="Cambria Math" w:hAnsi="Cambria Math"/>
                          </w:rPr>
                        </m:ctrlPr>
                      </m:sSubPr>
                      <m:e>
                        <m:r>
                          <w:rPr>
                            <w:rFonts w:ascii="Cambria Math" w:hAnsi="Cambria Math"/>
                          </w:rPr>
                          <m:t xml:space="preserve">ψ</m:t>
                        </m:r>
                      </m:e>
                      <m:sub>
                        <m:r>
                          <w:rPr>
                            <w:rFonts w:ascii="Cambria Math" w:hAnsi="Cambria Math"/>
                          </w:rPr>
                          <m:t xml:space="preserve">i</m:t>
                        </m:r>
                      </m:sub>
                    </m:sSub>
                  </m:e>
                </m:func>
              </m:e>
            </m:nary>
            <m:r>
              <m:rPr>
                <m:sty m:val="p"/>
              </m:rPr>
              <w:rPr>
                <w:rFonts w:ascii="Cambria Math" w:hAnsi="Cambria Math"/>
              </w:rPr>
              <m:t xml:space="preserve">=0</m:t>
            </m:r>
          </m:e>
        </m:eqArr>
      </m:oMath>
      <w:r>
        <w:tab/>
        <w:t>(5)</w:t>
      </w:r>
    </w:p>
    <w:p>
      <w:pPr>
        <w:spacing w:before="0" w:after="120" w:line="264" w:lineRule="auto"/>
        <w:jc w:val="both"/>
      </w:pPr>
      <w:r>
        <w:t xml:space="preserve">where </w:t>
      </w:r>
      <w:r>
        <w:rPr>
          <w:i/>
          <w:iCs/>
        </w:rPr>
        <w:t xml:space="preserve">F</w:t>
      </w:r>
      <w:r>
        <w:rPr>
          <w:i/>
          <w:iCs/>
          <w:vertAlign w:val="subscript"/>
        </w:rPr>
        <w:t xml:space="preserve">i</w:t>
      </w:r>
      <w:r>
        <w:t xml:space="preserve"> is the tangential load on path </w:t>
      </w:r>
      <w:r>
        <w:rPr>
          <w:i/>
          <w:iCs/>
        </w:rPr>
        <w:t xml:space="preserve">i</w:t>
      </w:r>
      <w:r>
        <w:t xml:space="preserve">, </w:t>
      </w:r>
      <w:r>
        <w:rPr>
          <w:i/>
          <w:iCs/>
        </w:rPr>
        <w:t xml:space="preserve">u</w:t>
      </w:r>
      <w:r>
        <w:t xml:space="preserve"> the common tangential approach, </w:t>
      </w:r>
      <w:r>
        <w:rPr>
          <w:i/>
          <w:iCs/>
        </w:rPr>
        <w:t xml:space="preserve">x</w:t>
      </w:r>
      <w:r>
        <w:t xml:space="preserve"> and </w:t>
      </w:r>
      <w:r>
        <w:rPr>
          <w:i/>
          <w:iCs/>
        </w:rPr>
        <w:t xml:space="preserve">y</w:t>
      </w:r>
      <w:r>
        <w:t xml:space="preserve"> the sun translations and </w:t>
      </w:r>
      <w:r>
        <w:rPr>
          <w:i/>
          <w:iCs/>
        </w:rPr>
        <w:t xml:space="preserve">F</w:t>
      </w:r>
      <w:r>
        <w:rPr>
          <w:vertAlign w:val="subscript"/>
        </w:rPr>
        <w:t xml:space="preserve">t</w:t>
      </w:r>
      <w:r>
        <w:t xml:space="preserve"> the total tangential load at the pin circle (</w:t>
      </w:r>
      <w:r>
        <w:rPr>
          <w:i/>
          <w:iCs/>
        </w:rPr>
        <w:t xml:space="preserve">F</w:t>
      </w:r>
      <w:r>
        <w:rPr>
          <w:vertAlign w:val="subscript"/>
        </w:rPr>
        <w:t xml:space="preserve">t</w:t>
      </w:r>
      <w:r>
        <w:t xml:space="preserve"> = 2</w:t>
      </w:r>
      <w:r>
        <w:rPr>
          <w:i/>
          <w:iCs/>
        </w:rPr>
        <w:t xml:space="preserve">T</w:t>
      </w:r>
      <w:r>
        <w:rPr>
          <w:vertAlign w:val="subscript"/>
        </w:rPr>
        <w:t xml:space="preserve">s</w:t>
      </w:r>
      <w:r>
        <w:t xml:space="preserve">/</w:t>
      </w:r>
      <w:r>
        <w:rPr>
          <w:i/>
          <w:iCs/>
        </w:rPr>
        <w:t xml:space="preserve">r</w:t>
      </w:r>
      <w:r>
        <w:rPr>
          <w:vertAlign w:val="subscript"/>
        </w:rPr>
        <w:t xml:space="preserve">s</w:t>
      </w:r>
      <w:r>
        <w:t xml:space="preserve"> for a fixed ring, with sun torque </w:t>
      </w:r>
      <w:r>
        <w:rPr>
          <w:i/>
          <w:iCs/>
        </w:rPr>
        <w:t xml:space="preserve">T</w:t>
      </w:r>
      <w:r>
        <w:rPr>
          <w:vertAlign w:val="subscript"/>
        </w:rPr>
        <w:t xml:space="preserve">s</w:t>
      </w:r>
      <w:r>
        <w:t xml:space="preserve"> and sun pitch radius </w:t>
      </w:r>
      <w:r>
        <w:rPr>
          <w:i/>
          <w:iCs/>
        </w:rPr>
        <w:t xml:space="preserve">r</w:t>
      </w:r>
      <w:r>
        <w:rPr>
          <w:vertAlign w:val="subscript"/>
        </w:rPr>
        <w:t xml:space="preserve">s</w:t>
      </w:r>
      <w:r>
        <w:t xml:space="preserve"> [15]). Mesh forces act tangentially (the pressure-angle component of the sun translation is neglected), and the planets are equally spaced. Equation (5) is the translational analogy of [15]; here it was solved by minimising the elastic energy subject to the unilateral constraint, so that a planet may lose contact. With </w:t>
      </w:r>
      <w:r>
        <w:rPr>
          <w:i/>
          <w:iCs/>
        </w:rPr>
        <w:t xml:space="preserve">δ</w:t>
      </w:r>
      <w:r>
        <w:rPr>
          <w:vertAlign w:val="subscript"/>
        </w:rPr>
        <w:t xml:space="preserve">eff</w:t>
      </w:r>
      <w:r>
        <w:t xml:space="preserve"> = </w:t>
      </w:r>
      <w:r>
        <w:rPr>
          <w:i/>
          <w:iCs/>
        </w:rPr>
        <w:t xml:space="preserve">F</w:t>
      </w:r>
      <w:r>
        <w:rPr>
          <w:vertAlign w:val="subscript"/>
        </w:rPr>
        <w:t xml:space="preserve">t</w:t>
      </w:r>
      <w:r>
        <w:t xml:space="preserve">/(</w:t>
      </w:r>
      <w:r>
        <w:rPr>
          <w:i/>
          <w:iCs/>
        </w:rPr>
        <w:t xml:space="preserve">nk</w:t>
      </w:r>
      <w:r>
        <w:rPr>
          <w:vertAlign w:val="subscript"/>
        </w:rPr>
        <w:t xml:space="preserve">p</w:t>
      </w:r>
      <w:r>
        <w:t xml:space="preserve">), the mean tangential displacement of the planet centres, the solution depends only on </w:t>
      </w:r>
      <w:r>
        <w:rPr>
          <w:i/>
          <w:iCs/>
        </w:rPr>
        <w:t xml:space="preserve">Π</w:t>
      </w:r>
      <w:r>
        <w:rPr>
          <w:i/>
          <w:iCs/>
          <w:vertAlign w:val="subscript"/>
        </w:rPr>
        <w:t xml:space="preserve">i</w:t>
      </w:r>
      <w:r>
        <w:t xml:space="preserve"> = </w:t>
      </w:r>
      <w:r>
        <w:rPr>
          <w:i/>
          <w:iCs/>
        </w:rPr>
        <w:t xml:space="preserve">e</w:t>
      </w:r>
      <w:r>
        <w:rPr>
          <w:i/>
          <w:iCs/>
          <w:vertAlign w:val="subscript"/>
        </w:rPr>
        <w:t xml:space="preserve">i</w:t>
      </w:r>
      <w:r>
        <w:t xml:space="preserve">/</w:t>
      </w:r>
      <w:r>
        <w:rPr>
          <w:i/>
          <w:iCs/>
        </w:rPr>
        <w:t xml:space="preserve">δ</w:t>
      </w:r>
      <w:r>
        <w:rPr>
          <w:vertAlign w:val="subscript"/>
        </w:rPr>
        <w:t xml:space="preserve">eff</w:t>
      </w:r>
      <w:r>
        <w:t xml:space="preserve">. To allow for Hertzian, bearing and rim nonlinearity, the effective deflection was allowed to grow with load:</w:t>
      </w:r>
    </w:p>
    <w:p>
      <w:pPr>
        <w:keepLines/>
        <w:tabs>
          <w:tab w:val="center" w:pos="4535"/>
          <w:tab w:val="right" w:pos="9070"/>
        </w:tabs>
        <w:spacing w:before="80" w:after="80"/>
      </w:pPr>
      <w:r>
        <w:tab/>
      </w:r>
      <m:oMath>
        <m:sSub>
          <m:sSubPr>
            <m:ctrlPr>
              <w:rPr>
                <w:rFonts w:ascii="Cambria Math" w:hAnsi="Cambria Math"/>
              </w:rPr>
            </m:ctrlPr>
          </m:sSubPr>
          <m:e>
            <m:r>
              <w:rPr>
                <w:rFonts w:ascii="Cambria Math" w:hAnsi="Cambria Math"/>
              </w:rPr>
              <m:t xml:space="preserve">δ</m:t>
            </m:r>
          </m:e>
          <m:sub>
            <m:r>
              <m:rPr>
                <m:sty m:val="p"/>
              </m:rPr>
              <w:rPr>
                <w:rFonts w:ascii="Cambria Math" w:hAnsi="Cambria Math"/>
              </w:rPr>
              <m:t xml:space="preserve">eff</m:t>
            </m:r>
          </m:sub>
        </m:sSub>
        <m:d>
          <m:dPr>
            <m:begChr m:val="("/>
            <m:endChr m:val=")"/>
            <m:ctrlPr>
              <w:rPr>
                <w:rFonts w:ascii="Cambria Math" w:hAnsi="Cambria Math"/>
              </w:rPr>
            </m:ctrlPr>
          </m:dPr>
          <m:e>
            <m:r>
              <w:rPr>
                <w:rFonts w:ascii="Cambria Math" w:hAnsi="Cambria Math"/>
              </w:rPr>
              <m:t xml:space="preserve">T</m:t>
            </m:r>
          </m:e>
        </m:d>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δ</m:t>
            </m:r>
          </m:e>
          <m:sub>
            <m:r>
              <m:rPr>
                <m:sty m:val="p"/>
              </m:rPr>
              <w:rPr>
                <w:rFonts w:ascii="Cambria Math" w:hAnsi="Cambria Math"/>
              </w:rPr>
              <m:t xml:space="preserve">ref</m:t>
            </m:r>
          </m:sub>
        </m:sSub>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 xml:space="preserve">T</m:t>
                    </m:r>
                  </m:num>
                  <m:den>
                    <m:sSub>
                      <m:sSubPr>
                        <m:ctrlPr>
                          <w:rPr>
                            <w:rFonts w:ascii="Cambria Math" w:hAnsi="Cambria Math"/>
                          </w:rPr>
                        </m:ctrlPr>
                      </m:sSubPr>
                      <m:e>
                        <m:r>
                          <w:rPr>
                            <w:rFonts w:ascii="Cambria Math" w:hAnsi="Cambria Math"/>
                          </w:rPr>
                          <m:t xml:space="preserve">T</m:t>
                        </m:r>
                      </m:e>
                      <m:sub>
                        <m:r>
                          <m:rPr>
                            <m:sty m:val="p"/>
                          </m:rPr>
                          <w:rPr>
                            <w:rFonts w:ascii="Cambria Math" w:hAnsi="Cambria Math"/>
                          </w:rPr>
                          <m:t xml:space="preserve">ref</m:t>
                        </m:r>
                      </m:sub>
                    </m:sSub>
                  </m:den>
                </m:f>
              </m:e>
            </m:d>
          </m:e>
          <m:sup>
            <m:r>
              <w:rPr>
                <w:rFonts w:ascii="Cambria Math" w:hAnsi="Cambria Math"/>
              </w:rPr>
              <m:t xml:space="preserve">m</m:t>
            </m:r>
          </m:sup>
        </m:sSup>
        <m:r>
          <w:rPr>
            <w:rFonts w:ascii="Cambria Math" w:hAnsi="Cambria Math"/>
          </w:rPr>
          <m:t xml:space="preserve">,  </m:t>
        </m:r>
        <m:sSub>
          <m:sSubPr>
            <m:ctrlPr>
              <w:rPr>
                <w:rFonts w:ascii="Cambria Math" w:hAnsi="Cambria Math"/>
              </w:rPr>
            </m:ctrlPr>
          </m:sSubPr>
          <m:e>
            <m:r>
              <w:rPr>
                <w:rFonts w:ascii="Cambria Math" w:hAnsi="Cambria Math"/>
              </w:rPr>
              <m:t xml:space="preserve">δ</m:t>
            </m:r>
          </m:e>
          <m:sub>
            <m:r>
              <m:rPr>
                <m:sty m:val="p"/>
              </m:rPr>
              <w:rPr>
                <w:rFonts w:ascii="Cambria Math" w:hAnsi="Cambria Math"/>
              </w:rPr>
              <m:t xml:space="preserve">ref</m:t>
            </m:r>
          </m:sub>
        </m:sSub>
        <m:r>
          <m:rPr>
            <m:sty m:val="p"/>
          </m:rPr>
          <w:rPr>
            <w:rFonts w:ascii="Cambria Math" w:hAnsi="Cambria Math"/>
          </w:rPr>
          <m:t xml:space="preserve">=</m:t>
        </m:r>
        <m:f>
          <m:fPr>
            <m:ctrlPr>
              <w:rPr>
                <w:rFonts w:ascii="Cambria Math" w:hAnsi="Cambria Math"/>
              </w:rPr>
            </m:ctrlPr>
          </m:fPr>
          <m:num>
            <m:sSub>
              <m:sSubPr>
                <m:ctrlPr>
                  <w:rPr>
                    <w:rFonts w:ascii="Cambria Math" w:hAnsi="Cambria Math"/>
                  </w:rPr>
                </m:ctrlPr>
              </m:sSubPr>
              <m:e>
                <m:r>
                  <w:rPr>
                    <w:rFonts w:ascii="Cambria Math" w:hAnsi="Cambria Math"/>
                  </w:rPr>
                  <m:t xml:space="preserve">δ</m:t>
                </m:r>
              </m:e>
              <m:sub>
                <m:r>
                  <m:rPr>
                    <m:sty m:val="p"/>
                  </m:rPr>
                  <w:rPr>
                    <w:rFonts w:ascii="Cambria Math" w:hAnsi="Cambria Math"/>
                  </w:rPr>
                  <m:t xml:space="preserve">ISO</m:t>
                </m:r>
              </m:sub>
            </m:sSub>
          </m:num>
          <m:den>
            <m:r>
              <w:rPr>
                <w:rFonts w:ascii="Cambria Math" w:hAnsi="Cambria Math"/>
              </w:rPr>
              <m:t xml:space="preserve">η</m:t>
            </m:r>
          </m:den>
        </m:f>
      </m:oMath>
      <w:r>
        <w:tab/>
        <w:t>(6)</w:t>
      </w:r>
    </w:p>
    <w:p>
      <w:pPr>
        <w:spacing w:before="0" w:after="120" w:line="264" w:lineRule="auto"/>
        <w:jc w:val="both"/>
      </w:pPr>
      <w:r>
        <w:t xml:space="preserve">where </w:t>
      </w:r>
      <w:r>
        <w:rPr>
          <w:i/>
          <w:iCs/>
        </w:rPr>
        <w:t xml:space="preserve">T</w:t>
      </w:r>
      <w:r>
        <w:t xml:space="preserve"> is the transmitted torque, </w:t>
      </w:r>
      <w:r>
        <w:rPr>
          <w:i/>
          <w:iCs/>
        </w:rPr>
        <w:t xml:space="preserve">T</w:t>
      </w:r>
      <w:r>
        <w:rPr>
          <w:vertAlign w:val="subscript"/>
        </w:rPr>
        <w:t xml:space="preserve">ref</w:t>
      </w:r>
      <w:r>
        <w:t xml:space="preserve"> a reference torque, </w:t>
      </w:r>
      <w:r>
        <w:rPr>
          <w:i/>
          <w:iCs/>
        </w:rPr>
        <w:t xml:space="preserve">δ</w:t>
      </w:r>
      <w:r>
        <w:rPr>
          <w:vertAlign w:val="subscript"/>
        </w:rPr>
        <w:t xml:space="preserve">ref</w:t>
      </w:r>
      <w:r>
        <w:t xml:space="preserve"> the effective deflection at </w:t>
      </w:r>
      <w:r>
        <w:rPr>
          <w:i/>
          <w:iCs/>
        </w:rPr>
        <w:t xml:space="preserve">T</w:t>
      </w:r>
      <w:r>
        <w:rPr>
          <w:vertAlign w:val="subscript"/>
        </w:rPr>
        <w:t xml:space="preserve">ref</w:t>
      </w:r>
      <w:r>
        <w:t xml:space="preserve">, </w:t>
      </w:r>
      <w:r>
        <w:rPr>
          <w:i/>
          <w:iCs/>
        </w:rPr>
        <w:t xml:space="preserve">m</w:t>
      </w:r>
      <w:r>
        <w:t xml:space="preserve"> the load exponent (</w:t>
      </w:r>
      <w:r>
        <w:rPr>
          <w:i/>
          <w:iCs/>
        </w:rPr>
        <w:t xml:space="preserve">m</w:t>
      </w:r>
      <w:r>
        <w:t xml:space="preserve"> = 1 for linear springs), </w:t>
      </w:r>
      <w:r>
        <w:rPr>
          <w:i/>
          <w:iCs/>
        </w:rPr>
        <w:t xml:space="preserve">δ</w:t>
      </w:r>
      <w:r>
        <w:rPr>
          <w:vertAlign w:val="subscript"/>
        </w:rPr>
        <w:t xml:space="preserve">ISO</w:t>
      </w:r>
      <w:r>
        <w:t xml:space="preserve"> the planet-centre displacement at </w:t>
      </w:r>
      <w:r>
        <w:rPr>
          <w:i/>
          <w:iCs/>
        </w:rPr>
        <w:t xml:space="preserve">T</w:t>
      </w:r>
      <w:r>
        <w:rPr>
          <w:vertAlign w:val="subscript"/>
        </w:rPr>
        <w:t xml:space="preserve">ref</w:t>
      </w:r>
      <w:r>
        <w:t xml:space="preserve"> produced by the sun–planet and planet–ring meshes, which act in parallel on the planet [15], with the ISO 6336-1 mesh stiffness [1], and </w:t>
      </w:r>
      <w:r>
        <w:rPr>
          <w:i/>
          <w:iCs/>
        </w:rPr>
        <w:t xml:space="preserve">η</w:t>
      </w:r>
      <w:r>
        <w:t xml:space="preserve"> = </w:t>
      </w:r>
      <w:r>
        <w:rPr>
          <w:i/>
          <w:iCs/>
        </w:rPr>
        <w:t xml:space="preserve">δ</w:t>
      </w:r>
      <w:r>
        <w:rPr>
          <w:vertAlign w:val="subscript"/>
        </w:rPr>
        <w:t xml:space="preserve">ISO</w:t>
      </w:r>
      <w:r>
        <w:t xml:space="preserve">/</w:t>
      </w:r>
      <w:r>
        <w:rPr>
          <w:i/>
          <w:iCs/>
        </w:rPr>
        <w:t xml:space="preserve">δ</w:t>
      </w:r>
      <w:r>
        <w:rPr>
          <w:vertAlign w:val="subscript"/>
        </w:rPr>
        <w:t xml:space="preserve">ref</w:t>
      </w:r>
      <w:r>
        <w:t xml:space="preserve"> the ratio of the effective path stiffness to the mesh-only stiffness. The planetary response is summarised by</w:t>
      </w:r>
    </w:p>
    <w:p>
      <w:pPr>
        <w:keepLines/>
        <w:tabs>
          <w:tab w:val="center" w:pos="4535"/>
          <w:tab w:val="right" w:pos="9070"/>
        </w:tabs>
        <w:spacing w:before="80" w:after="80"/>
      </w:pPr>
      <w:r>
        <w:tab/>
      </w:r>
      <m:oMath>
        <m:sSub>
          <m:sSubPr>
            <m:ctrlPr>
              <w:rPr>
                <w:rFonts w:ascii="Cambria Math" w:hAnsi="Cambria Math"/>
              </w:rPr>
            </m:ctrlPr>
          </m:sSubPr>
          <m:e>
            <m:r>
              <w:rPr>
                <w:rFonts w:ascii="Cambria Math" w:hAnsi="Cambria Math"/>
              </w:rPr>
              <m:t xml:space="preserve">K</m:t>
            </m:r>
          </m:e>
          <m:sub>
            <m:r>
              <w:rPr>
                <w:rFonts w:ascii="Cambria Math" w:hAnsi="Cambria Math"/>
              </w:rPr>
              <m:t xml:space="preserve">γ</m:t>
            </m:r>
          </m:sub>
        </m:sSub>
        <m:r>
          <m:rPr>
            <m:sty m:val="p"/>
          </m:rPr>
          <w:rPr>
            <w:rFonts w:ascii="Cambria Math" w:hAnsi="Cambria Math"/>
          </w:rPr>
          <m:t xml:space="preserve">=</m:t>
        </m:r>
        <m:r>
          <w:rPr>
            <w:rFonts w:ascii="Cambria Math" w:hAnsi="Cambria Math"/>
          </w:rPr>
          <m:t xml:space="preserve">n</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 xml:space="preserve">max</m:t>
                </m:r>
              </m:e>
              <m:lim>
                <m:r>
                  <w:rPr>
                    <w:rFonts w:ascii="Cambria Math" w:hAnsi="Cambria Math"/>
                  </w:rPr>
                  <m:t xml:space="preserve">i</m:t>
                </m:r>
              </m:lim>
            </m:limLow>
          </m:fName>
          <m:e>
            <m:sSub>
              <m:sSubPr>
                <m:ctrlPr>
                  <w:rPr>
                    <w:rFonts w:ascii="Cambria Math" w:hAnsi="Cambria Math"/>
                  </w:rPr>
                </m:ctrlPr>
              </m:sSubPr>
              <m:e>
                <m:r>
                  <w:rPr>
                    <w:rFonts w:ascii="Cambria Math" w:hAnsi="Cambria Math"/>
                  </w:rPr>
                  <m:t xml:space="preserve">L</m:t>
                </m:r>
              </m:e>
              <m:sub>
                <m:r>
                  <w:rPr>
                    <w:rFonts w:ascii="Cambria Math" w:hAnsi="Cambria Math"/>
                  </w:rPr>
                  <m:t xml:space="preserve">i</m:t>
                </m:r>
              </m:sub>
            </m:sSub>
          </m:e>
        </m:func>
        <m:r>
          <w:rPr>
            <w:rFonts w:ascii="Cambria Math" w:hAnsi="Cambria Math"/>
          </w:rPr>
          <m:t xml:space="preserve">,  </m:t>
        </m:r>
        <m:sSub>
          <m:sSubPr>
            <m:ctrlPr>
              <w:rPr>
                <w:rFonts w:ascii="Cambria Math" w:hAnsi="Cambria Math"/>
              </w:rPr>
            </m:ctrlPr>
          </m:sSubPr>
          <m:e>
            <m:r>
              <w:rPr>
                <w:rFonts w:ascii="Cambria Math" w:hAnsi="Cambria Math"/>
              </w:rPr>
              <m:t xml:space="preserve">L</m:t>
            </m:r>
          </m:e>
          <m:sub>
            <m:r>
              <w:rPr>
                <w:rFonts w:ascii="Cambria Math" w:hAnsi="Cambria Math"/>
              </w:rPr>
              <m:t xml:space="preserve">i</m:t>
            </m:r>
          </m:sub>
        </m:sSub>
        <m:r>
          <m:rPr>
            <m:sty m:val="p"/>
          </m:rPr>
          <w:rPr>
            <w:rFonts w:ascii="Cambria Math" w:hAnsi="Cambria Math"/>
          </w:rPr>
          <m:t xml:space="preserve">=</m:t>
        </m:r>
        <m:f>
          <m:fPr>
            <m:ctrlPr>
              <w:rPr>
                <w:rFonts w:ascii="Cambria Math" w:hAnsi="Cambria Math"/>
              </w:rPr>
            </m:ctrlPr>
          </m:fPr>
          <m:num>
            <m:sSub>
              <m:sSubPr>
                <m:ctrlPr>
                  <w:rPr>
                    <w:rFonts w:ascii="Cambria Math" w:hAnsi="Cambria Math"/>
                  </w:rPr>
                </m:ctrlPr>
              </m:sSubPr>
              <m:e>
                <m:r>
                  <w:rPr>
                    <w:rFonts w:ascii="Cambria Math" w:hAnsi="Cambria Math"/>
                  </w:rPr>
                  <m:t xml:space="preserve">F</m:t>
                </m:r>
              </m:e>
              <m:sub>
                <m:r>
                  <w:rPr>
                    <w:rFonts w:ascii="Cambria Math" w:hAnsi="Cambria Math"/>
                  </w:rPr>
                  <m:t xml:space="preserve">i</m:t>
                </m:r>
              </m:sub>
            </m:sSub>
          </m:num>
          <m:den>
            <m:sSub>
              <m:sSubPr>
                <m:ctrlPr>
                  <w:rPr>
                    <w:rFonts w:ascii="Cambria Math" w:hAnsi="Cambria Math"/>
                  </w:rPr>
                </m:ctrlPr>
              </m:sSubPr>
              <m:e>
                <m:r>
                  <w:rPr>
                    <w:rFonts w:ascii="Cambria Math" w:hAnsi="Cambria Math"/>
                  </w:rPr>
                  <m:t xml:space="preserve">F</m:t>
                </m:r>
              </m:e>
              <m:sub>
                <m:r>
                  <m:rPr>
                    <m:sty m:val="p"/>
                  </m:rPr>
                  <w:rPr>
                    <w:rFonts w:ascii="Cambria Math" w:hAnsi="Cambria Math"/>
                  </w:rPr>
                  <m:t xml:space="preserve">t</m:t>
                </m:r>
              </m:sub>
            </m:sSub>
          </m:den>
        </m:f>
        <m:r>
          <w:rPr>
            <w:rFonts w:ascii="Cambria Math" w:hAnsi="Cambria Math"/>
          </w:rPr>
          <m:t xml:space="preserve">,  </m:t>
        </m:r>
        <m:sSub>
          <m:sSubPr>
            <m:ctrlPr>
              <w:rPr>
                <w:rFonts w:ascii="Cambria Math" w:hAnsi="Cambria Math"/>
              </w:rPr>
            </m:ctrlPr>
          </m:sSubPr>
          <m:e>
            <m:r>
              <w:rPr>
                <w:rFonts w:ascii="Cambria Math" w:hAnsi="Cambria Math"/>
              </w:rPr>
              <m:t xml:space="preserve">K</m:t>
            </m:r>
          </m:e>
          <m:sub>
            <m:r>
              <w:rPr>
                <w:rFonts w:ascii="Cambria Math" w:hAnsi="Cambria Math"/>
              </w:rPr>
              <m:t xml:space="preserve">γ</m:t>
            </m:r>
          </m:sub>
        </m:sSub>
        <m:r>
          <m:rPr>
            <m:sty m:val="p"/>
          </m:rPr>
          <w:rPr>
            <w:rFonts w:ascii="Cambria Math" w:hAnsi="Cambria Math"/>
          </w:rPr>
          <m:t xml:space="preserve">−1∝</m:t>
        </m:r>
        <m:r>
          <m:rPr>
            <m:sty m:val="i"/>
          </m:rPr>
          <w:rPr>
            <w:rFonts w:ascii="Cambria Math" w:hAnsi="Cambria Math"/>
          </w:rPr>
          <m:t xml:space="preserve">Π</m:t>
        </m:r>
        <m:r>
          <m:rPr>
            <m:sty m:val="p"/>
          </m:rPr>
          <w:rPr>
            <w:rFonts w:ascii="Cambria Math" w:hAnsi="Cambria Math"/>
          </w:rPr>
          <m:t xml:space="preserve">∝</m:t>
        </m:r>
        <m:sSup>
          <m:sSupPr>
            <m:ctrlPr>
              <w:rPr>
                <w:rFonts w:ascii="Cambria Math" w:hAnsi="Cambria Math"/>
              </w:rPr>
            </m:ctrlPr>
          </m:sSupPr>
          <m:e>
            <m:r>
              <w:rPr>
                <w:rFonts w:ascii="Cambria Math" w:hAnsi="Cambria Math"/>
              </w:rPr>
              <m:t xml:space="preserve">T</m:t>
            </m:r>
          </m:e>
          <m:sup>
            <m:r>
              <m:rPr>
                <m:sty m:val="p"/>
              </m:rPr>
              <w:rPr>
                <w:rFonts w:ascii="Cambria Math" w:hAnsi="Cambria Math"/>
              </w:rPr>
              <m:t xml:space="preserve">−</m:t>
            </m:r>
            <m:r>
              <w:rPr>
                <w:rFonts w:ascii="Cambria Math" w:hAnsi="Cambria Math"/>
              </w:rPr>
              <m:t xml:space="preserve">m</m:t>
            </m:r>
          </m:sup>
        </m:sSup>
      </m:oMath>
      <w:r>
        <w:tab/>
        <w:t>(7)</w:t>
      </w:r>
    </w:p>
    <w:p>
      <w:pPr>
        <w:spacing w:before="0" w:after="120" w:line="264" w:lineRule="auto"/>
        <w:jc w:val="both"/>
      </w:pPr>
      <w:r>
        <w:t xml:space="preserve">where </w:t>
      </w:r>
      <w:r>
        <w:rPr>
          <w:i/>
          <w:iCs/>
        </w:rPr>
        <w:t xml:space="preserve">L</w:t>
      </w:r>
      <w:r>
        <w:rPr>
          <w:i/>
          <w:iCs/>
          <w:vertAlign w:val="subscript"/>
        </w:rPr>
        <w:t xml:space="preserve">i</w:t>
      </w:r>
      <w:r>
        <w:t xml:space="preserve"> is the load fraction of planet </w:t>
      </w:r>
      <w:r>
        <w:rPr>
          <w:i/>
          <w:iCs/>
        </w:rPr>
        <w:t xml:space="preserve">i</w:t>
      </w:r>
      <w:r>
        <w:t xml:space="preserve">; the proportionality holds only while all planets are loaded. For a single tangential error </w:t>
      </w:r>
      <w:r>
        <w:rPr>
          <w:i/>
          <w:iCs/>
        </w:rPr>
        <w:t xml:space="preserve">e</w:t>
      </w:r>
      <w:r>
        <w:rPr>
          <w:vertAlign w:val="subscript"/>
        </w:rPr>
        <w:t xml:space="preserve">1</w:t>
      </w:r>
      <w:r>
        <w:t xml:space="preserve"> &gt; 0, the closed-form solution of [15] gives the constant explicitly:</w:t>
      </w:r>
    </w:p>
    <w:p>
      <w:pPr>
        <w:keepLines/>
        <w:tabs>
          <w:tab w:val="center" w:pos="4535"/>
          <w:tab w:val="right" w:pos="9070"/>
        </w:tabs>
        <w:spacing w:before="80" w:after="80"/>
      </w:pPr>
      <w:r>
        <w:tab/>
      </w:r>
      <m:oMath>
        <m:sSub>
          <m:sSubPr>
            <m:ctrlPr>
              <w:rPr>
                <w:rFonts w:ascii="Cambria Math" w:hAnsi="Cambria Math"/>
              </w:rPr>
            </m:ctrlPr>
          </m:sSubPr>
          <m:e>
            <m:r>
              <w:rPr>
                <w:rFonts w:ascii="Cambria Math" w:hAnsi="Cambria Math"/>
              </w:rPr>
              <m:t xml:space="preserve">K</m:t>
            </m:r>
          </m:e>
          <m:sub>
            <m:r>
              <w:rPr>
                <w:rFonts w:ascii="Cambria Math" w:hAnsi="Cambria Math"/>
              </w:rPr>
              <m:t xml:space="preserve">γ</m:t>
            </m:r>
          </m:sub>
        </m:sSub>
        <m:r>
          <m:rPr>
            <m:sty m:val="p"/>
          </m:rPr>
          <w:rPr>
            <w:rFonts w:ascii="Cambria Math" w:hAnsi="Cambria Math"/>
          </w:rPr>
          <m:t xml:space="preserve">=1+</m:t>
        </m:r>
        <m:sSub>
          <m:sSubPr>
            <m:ctrlPr>
              <w:rPr>
                <w:rFonts w:ascii="Cambria Math" w:hAnsi="Cambria Math"/>
              </w:rPr>
            </m:ctrlPr>
          </m:sSubPr>
          <m:e>
            <m:r>
              <w:rPr>
                <w:rFonts w:ascii="Cambria Math" w:hAnsi="Cambria Math"/>
              </w:rPr>
              <m:t xml:space="preserve">c</m:t>
            </m:r>
          </m:e>
          <m:sub>
            <m:r>
              <w:rPr>
                <w:rFonts w:ascii="Cambria Math" w:hAnsi="Cambria Math"/>
              </w:rPr>
              <m:t xml:space="preserve">n</m:t>
            </m:r>
          </m:sub>
        </m:sSub>
        <m:sSub>
          <m:sSubPr>
            <m:ctrlPr>
              <w:rPr>
                <w:rFonts w:ascii="Cambria Math" w:hAnsi="Cambria Math"/>
              </w:rPr>
            </m:ctrlPr>
          </m:sSubPr>
          <m:e>
            <m:r>
              <m:rPr>
                <m:sty m:val="i"/>
              </m:rPr>
              <w:rPr>
                <w:rFonts w:ascii="Cambria Math" w:hAnsi="Cambria Math"/>
              </w:rPr>
              <m:t xml:space="preserve">Π</m:t>
            </m:r>
          </m:e>
          <m:sub>
            <m:r>
              <m:rPr>
                <m:sty m:val="p"/>
              </m:rPr>
              <w:rPr>
                <w:rFonts w:ascii="Cambria Math" w:hAnsi="Cambria Math"/>
              </w:rPr>
              <m:t xml:space="preserve">1</m:t>
            </m:r>
          </m:sub>
        </m:sSub>
      </m:oMath>
      <w:r>
        <w:tab/>
        <w:t>(8)</w:t>
      </w:r>
    </w:p>
    <w:p>
      <w:pPr>
        <w:spacing w:before="0" w:after="120" w:line="264" w:lineRule="auto"/>
        <w:jc w:val="both"/>
      </w:pPr>
      <w:r>
        <w:t xml:space="preserve">where </w:t>
      </w:r>
      <w:r>
        <w:rPr>
          <w:i/>
          <w:iCs/>
        </w:rPr>
        <w:t xml:space="preserve">Π</w:t>
      </w:r>
      <w:r>
        <w:rPr>
          <w:vertAlign w:val="subscript"/>
        </w:rPr>
        <w:t xml:space="preserve">1</w:t>
      </w:r>
      <w:r>
        <w:t xml:space="preserve"> = </w:t>
      </w:r>
      <w:r>
        <w:rPr>
          <w:i/>
          <w:iCs/>
        </w:rPr>
        <w:t xml:space="preserve">e</w:t>
      </w:r>
      <w:r>
        <w:rPr>
          <w:vertAlign w:val="subscript"/>
        </w:rPr>
        <w:t xml:space="preserve">1</w:t>
      </w:r>
      <w:r>
        <w:t xml:space="preserve">/</w:t>
      </w:r>
      <w:r>
        <w:rPr>
          <w:i/>
          <w:iCs/>
        </w:rPr>
        <w:t xml:space="preserve">δ</w:t>
      </w:r>
      <w:r>
        <w:rPr>
          <w:vertAlign w:val="subscript"/>
        </w:rPr>
        <w:t xml:space="preserve">eff</w:t>
      </w:r>
      <w:r>
        <w:t xml:space="preserve"> and </w:t>
      </w:r>
      <w:r>
        <w:rPr>
          <w:i/>
          <w:iCs/>
        </w:rPr>
        <w:t xml:space="preserve">c</w:t>
      </w:r>
      <w:r>
        <w:rPr>
          <w:i/>
          <w:iCs/>
          <w:vertAlign w:val="subscript"/>
        </w:rPr>
        <w:t xml:space="preserve">n</w:t>
      </w:r>
      <w:r>
        <w:t xml:space="preserve"> = 1/4, 2/5 and 1/2 for </w:t>
      </w:r>
      <w:r>
        <w:rPr>
          <w:i/>
          <w:iCs/>
        </w:rPr>
        <w:t xml:space="preserve">n</w:t>
      </w:r>
      <w:r>
        <w:t xml:space="preserve"> = 4, 5 and 6. For six planets, Eq. (8) has the same form as the first branch of Eq. (4). The design baseline treats </w:t>
      </w:r>
      <w:r>
        <w:rPr>
          <w:i/>
          <w:iCs/>
        </w:rPr>
        <w:t xml:space="preserve">K</w:t>
      </w:r>
      <w:r>
        <w:rPr>
          <w:i/>
          <w:iCs/>
          <w:vertAlign w:val="subscript"/>
        </w:rPr>
        <w:t xml:space="preserve">γ</w:t>
      </w:r>
      <w:r>
        <w:t xml:space="preserve"> as a constant, 1.44 for six planets [3, 25].</w:t>
      </w:r>
    </w:p>
    <w:p>
      <w:pPr>
        <w:pStyle w:val="Balk2"/>
        <w:keepNext/>
        <w:spacing w:before="180" w:after="80"/>
      </w:pPr>
      <w:r>
        <w:t xml:space="preserve">3.4 Experimental Data Sources and Selection Criteria</w:t>
      </w:r>
    </w:p>
    <w:p>
      <w:pPr>
        <w:spacing w:before="0" w:after="120" w:line="264" w:lineRule="auto"/>
        <w:jc w:val="both"/>
      </w:pPr>
      <w:r>
        <w:t xml:space="preserve">Experiments were selected if they reported a controlled or measured misalignment and a quantitative load-distribution or transmission-error response, with the full text available and an extractable uncertainty. Six studies met these criteria for load redistribution [4–6, 23–25], with tabulated values for [23] in [17]; the only transmission-error study [30] lacks the misalignment magnitude and was used as directional evidence (Table 2). The qualitative gearbox study [31], numerical and system-level simulations [7, 8, 10, 21], an encoder study without a misalignment sweep [28] and a trade-journal report [32] of [4] were not used for validation, and the combined load distribution coefficient of [20] was used only qualitatively (Section 5.1). At least three independent sources from at least two laboratories were required before a relation was tested; this was met for load redistribution (The Ohio State University [4, 5, 23]; an industrial gearbox in Korea [24, 25]) but not for transmission error.</w:t>
      </w:r>
    </w:p>
    <w:p>
      <w:pPr>
        <w:keepNext/>
        <w:spacing w:before="200" w:after="80" w:line="240" w:lineRule="auto"/>
        <w:jc w:val="both"/>
      </w:pPr>
      <w:r>
        <w:rPr>
          <w:b/>
          <w:bCs/>
          <w:sz w:val="20"/>
          <w:szCs w:val="20"/>
        </w:rPr>
        <w:t xml:space="preserve">Table 2</w:t>
      </w:r>
      <w:r>
        <w:rPr>
          <w:sz w:val="20"/>
          <w:szCs w:val="20"/>
        </w:rPr>
        <w:t xml:space="preserve"> </w:t>
      </w:r>
      <w:r>
        <w:rPr>
          <w:sz w:val="20"/>
          <w:szCs w:val="20"/>
        </w:rPr>
        <w:t xml:space="preserve">Experimental sources and their role in the analysis. n.r. = not reported; </w:t>
      </w:r>
      <w:r>
        <w:rPr>
          <w:i/>
          <w:iCs/>
          <w:sz w:val="20"/>
          <w:szCs w:val="20"/>
        </w:rPr>
        <w:t xml:space="preserve">ẽ</w:t>
      </w:r>
      <w:r>
        <w:rPr>
          <w:sz w:val="20"/>
          <w:szCs w:val="20"/>
          <w:vertAlign w:val="subscript"/>
        </w:rPr>
        <w:t xml:space="preserve">c1</w:t>
      </w:r>
      <w:r>
        <w:rPr>
          <w:sz w:val="20"/>
          <w:szCs w:val="20"/>
        </w:rPr>
        <w:t xml:space="preserve"> = tangential pinhole position error of planet 1; </w:t>
      </w:r>
      <w:r>
        <w:rPr>
          <w:i/>
          <w:iCs/>
          <w:sz w:val="20"/>
          <w:szCs w:val="20"/>
        </w:rPr>
        <w:t xml:space="preserve">T</w:t>
      </w:r>
      <w:r>
        <w:rPr>
          <w:sz w:val="20"/>
          <w:szCs w:val="20"/>
          <w:vertAlign w:val="subscript"/>
        </w:rPr>
        <w:t xml:space="preserve">s</w:t>
      </w:r>
      <w:r>
        <w:rPr>
          <w:sz w:val="20"/>
          <w:szCs w:val="20"/>
        </w:rPr>
        <w:t xml:space="preserve"> = sun torque; CW/CCW = clockwise/counter-clockwise; CMM = coordinate measuring machine; other symbols as in Table 1</w:t>
      </w:r>
    </w:p>
    <w:tbl>
      <w:tblPr>
        <w:tblW w:w="9070" w:type="dxa"/>
        <w:tblLayout w:type="fixed"/>
        <w:tblCellMar>
          <w:left w:w="60" w:type="dxa"/>
          <w:right w:w="60" w:type="dxa"/>
        </w:tblCellMar>
        <w:tblLook w:val="04A0" w:firstRow="1" w:lastRow="0" w:firstColumn="1" w:lastColumn="0" w:noHBand="0" w:noVBand="1"/>
      </w:tblPr>
      <w:tblGrid>
        <w:gridCol w:w="1500"/>
        <w:gridCol w:w="2700"/>
        <w:gridCol w:w="1900"/>
        <w:gridCol w:w="1700"/>
        <w:gridCol w:w="1270"/>
      </w:tblGrid>
      <w:tr>
        <w:trPr>
          <w:cantSplit/>
          <w:tblHeader/>
        </w:trPr>
        <w:tc>
          <w:tcPr>
            <w:tcW w:w="1500" w:type="dxa"/>
            <w:tcBorders>
              <w:top w:val="single" w:sz="6" w:space="0" w:color="000000"/>
              <w:left w:val="nil"/>
              <w:bottom w:val="single" w:sz="6" w:space="0" w:color="000000"/>
              <w:right w:val="nil"/>
            </w:tcBorders>
            <w:tcMar>
              <w:top w:w="30" w:type="dxa"/>
              <w:left w:w="60" w:type="dxa"/>
              <w:bottom w:w="30" w:type="dxa"/>
              <w:right w:w="60" w:type="dxa"/>
            </w:tcMar>
          </w:tcPr>
          <w:p>
            <w:pPr>
              <w:spacing w:before="0" w:after="0" w:line="240" w:lineRule="auto"/>
              <w:jc w:val="left"/>
            </w:pPr>
            <w:r>
              <w:rPr>
                <w:b/>
                <w:bCs/>
                <w:sz w:val="16"/>
                <w:szCs w:val="16"/>
              </w:rPr>
              <w:t xml:space="preserve">Source</w:t>
            </w:r>
          </w:p>
        </w:tc>
        <w:tc>
          <w:tcPr>
            <w:tcW w:w="2700" w:type="dxa"/>
            <w:tcBorders>
              <w:top w:val="single" w:sz="6" w:space="0" w:color="000000"/>
              <w:left w:val="nil"/>
              <w:bottom w:val="single" w:sz="6" w:space="0" w:color="000000"/>
              <w:right w:val="nil"/>
            </w:tcBorders>
            <w:tcMar>
              <w:top w:w="30" w:type="dxa"/>
              <w:left w:w="60" w:type="dxa"/>
              <w:bottom w:w="30" w:type="dxa"/>
              <w:right w:w="60" w:type="dxa"/>
            </w:tcMar>
          </w:tcPr>
          <w:p>
            <w:pPr>
              <w:spacing w:before="0" w:after="0" w:line="240" w:lineRule="auto"/>
              <w:jc w:val="left"/>
            </w:pPr>
            <w:r>
              <w:rPr>
                <w:b/>
                <w:bCs/>
                <w:sz w:val="16"/>
                <w:szCs w:val="16"/>
              </w:rPr>
              <w:t xml:space="preserve">Configuration and geometry</w:t>
            </w:r>
          </w:p>
        </w:tc>
        <w:tc>
          <w:tcPr>
            <w:tcW w:w="1900" w:type="dxa"/>
            <w:tcBorders>
              <w:top w:val="single" w:sz="6" w:space="0" w:color="000000"/>
              <w:left w:val="nil"/>
              <w:bottom w:val="single" w:sz="6" w:space="0" w:color="000000"/>
              <w:right w:val="nil"/>
            </w:tcBorders>
            <w:tcMar>
              <w:top w:w="30" w:type="dxa"/>
              <w:left w:w="60" w:type="dxa"/>
              <w:bottom w:w="30" w:type="dxa"/>
              <w:right w:w="60" w:type="dxa"/>
            </w:tcMar>
          </w:tcPr>
          <w:p>
            <w:pPr>
              <w:spacing w:before="0" w:after="0" w:line="240" w:lineRule="auto"/>
              <w:jc w:val="left"/>
            </w:pPr>
            <w:r>
              <w:rPr>
                <w:b/>
                <w:bCs/>
                <w:sz w:val="16"/>
                <w:szCs w:val="16"/>
              </w:rPr>
              <w:t xml:space="preserve">Material; operating conditions</w:t>
            </w:r>
          </w:p>
        </w:tc>
        <w:tc>
          <w:tcPr>
            <w:tcW w:w="1700" w:type="dxa"/>
            <w:tcBorders>
              <w:top w:val="single" w:sz="6" w:space="0" w:color="000000"/>
              <w:left w:val="nil"/>
              <w:bottom w:val="single" w:sz="6" w:space="0" w:color="000000"/>
              <w:right w:val="nil"/>
            </w:tcBorders>
            <w:tcMar>
              <w:top w:w="30" w:type="dxa"/>
              <w:left w:w="60" w:type="dxa"/>
              <w:bottom w:w="30" w:type="dxa"/>
              <w:right w:w="60" w:type="dxa"/>
            </w:tcMar>
          </w:tcPr>
          <w:p>
            <w:pPr>
              <w:spacing w:before="0" w:after="0" w:line="240" w:lineRule="auto"/>
              <w:jc w:val="left"/>
            </w:pPr>
            <w:r>
              <w:rPr>
                <w:b/>
                <w:bCs/>
                <w:sz w:val="16"/>
                <w:szCs w:val="16"/>
              </w:rPr>
              <w:t xml:space="preserve">Measured output; uncertainty</w:t>
            </w:r>
          </w:p>
        </w:tc>
        <w:tc>
          <w:tcPr>
            <w:tcW w:w="1270" w:type="dxa"/>
            <w:tcBorders>
              <w:top w:val="single" w:sz="6" w:space="0" w:color="000000"/>
              <w:left w:val="nil"/>
              <w:bottom w:val="single" w:sz="6" w:space="0" w:color="000000"/>
              <w:right w:val="nil"/>
            </w:tcBorders>
            <w:tcMar>
              <w:top w:w="30" w:type="dxa"/>
              <w:left w:w="60" w:type="dxa"/>
              <w:bottom w:w="30" w:type="dxa"/>
              <w:right w:w="60" w:type="dxa"/>
            </w:tcMar>
          </w:tcPr>
          <w:p>
            <w:pPr>
              <w:spacing w:before="0" w:after="0" w:line="240" w:lineRule="auto"/>
              <w:jc w:val="left"/>
            </w:pPr>
            <w:r>
              <w:rPr>
                <w:b/>
                <w:bCs/>
                <w:sz w:val="16"/>
                <w:szCs w:val="16"/>
              </w:rPr>
              <w:t xml:space="preserve">Role</w:t>
            </w:r>
          </w:p>
        </w:tc>
      </w:tr>
      <w:tr>
        <w:trPr>
          <w:cantSplit/>
        </w:trPr>
        <w:tc>
          <w:tcPr>
            <w:tcW w:w="15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Hotait and Kahraman [4]</w:t>
            </w:r>
          </w:p>
        </w:tc>
        <w:tc>
          <w:tcPr>
            <w:tcW w:w="27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Helical, 62/62 teeth, normal module 2.04 mm, normal pressure angle 16°, </w:t>
            </w:r>
            <w:r>
              <w:rPr>
                <w:i/>
                <w:iCs/>
                <w:sz w:val="16"/>
                <w:szCs w:val="16"/>
              </w:rPr>
              <w:t xml:space="preserve">β</w:t>
            </w:r>
            <w:r>
              <w:rPr>
                <w:sz w:val="16"/>
                <w:szCs w:val="16"/>
              </w:rPr>
              <w:t xml:space="preserve"> = 32.5°, </w:t>
            </w:r>
            <w:r>
              <w:rPr>
                <w:i/>
                <w:iCs/>
                <w:sz w:val="16"/>
                <w:szCs w:val="16"/>
              </w:rPr>
              <w:t xml:space="preserve">b</w:t>
            </w:r>
            <w:r>
              <w:rPr>
                <w:sz w:val="16"/>
                <w:szCs w:val="16"/>
              </w:rPr>
              <w:t xml:space="preserve"> = 20 mm; </w:t>
            </w:r>
            <w:r>
              <w:rPr>
                <w:i/>
                <w:iCs/>
                <w:sz w:val="16"/>
                <w:szCs w:val="16"/>
              </w:rPr>
              <w:t xml:space="preserve">C</w:t>
            </w:r>
            <w:r>
              <w:rPr>
                <w:i/>
                <w:iCs/>
                <w:sz w:val="16"/>
                <w:szCs w:val="16"/>
                <w:vertAlign w:val="subscript"/>
              </w:rPr>
              <w:t xml:space="preserve">β</w:t>
            </w:r>
            <w:r>
              <w:rPr>
                <w:sz w:val="16"/>
                <w:szCs w:val="16"/>
              </w:rPr>
              <w:t xml:space="preserve"> = 0, 12, 25 µm; </w:t>
            </w:r>
            <w:r>
              <w:rPr>
                <w:i/>
                <w:iCs/>
                <w:sz w:val="16"/>
                <w:szCs w:val="16"/>
              </w:rPr>
              <w:t xml:space="preserve">h</w:t>
            </w:r>
            <w:r>
              <w:rPr>
                <w:sz w:val="16"/>
                <w:szCs w:val="16"/>
              </w:rPr>
              <w:t xml:space="preserve"> = 0, ±1, ±2 × </w:t>
            </w:r>
            <w:r>
              <w:rPr>
                <w:sz w:val="16"/>
                <w:szCs w:val="16"/>
              </w:rPr>
              <w:t xml:space="preserve">10</w:t>
            </w:r>
            <w:r>
              <w:rPr>
                <w:sz w:val="16"/>
                <w:szCs w:val="16"/>
                <w:vertAlign w:val="superscript"/>
              </w:rPr>
              <w:t xml:space="preserve">−3</w:t>
            </w:r>
            <w:r>
              <w:rPr>
                <w:sz w:val="16"/>
                <w:szCs w:val="16"/>
              </w:rPr>
              <w:t xml:space="preserve"> m/m; gauges 2.7–16.5 mm from one face end</w:t>
            </w:r>
          </w:p>
        </w:tc>
        <w:tc>
          <w:tcPr>
            <w:tcW w:w="19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Steel, </w:t>
            </w:r>
            <w:r>
              <w:rPr>
                <w:i/>
                <w:iCs/>
                <w:sz w:val="16"/>
                <w:szCs w:val="16"/>
              </w:rPr>
              <w:t xml:space="preserve">E</w:t>
            </w:r>
            <w:r>
              <w:rPr>
                <w:sz w:val="16"/>
                <w:szCs w:val="16"/>
              </w:rPr>
              <w:t xml:space="preserve"> = 207 GPa; 200 </w:t>
            </w:r>
            <w:r>
              <w:rPr>
                <w:sz w:val="16"/>
                <w:szCs w:val="16"/>
              </w:rPr>
              <w:t xml:space="preserve">min</w:t>
            </w:r>
            <w:r>
              <w:rPr>
                <w:sz w:val="16"/>
                <w:szCs w:val="16"/>
                <w:vertAlign w:val="superscript"/>
              </w:rPr>
              <w:t xml:space="preserve">−1</w:t>
            </w:r>
            <w:r>
              <w:rPr>
                <w:sz w:val="16"/>
                <w:szCs w:val="16"/>
              </w:rPr>
              <w:t xml:space="preserve">; 100–500 N·m</w:t>
            </w:r>
          </w:p>
        </w:tc>
        <w:tc>
          <w:tcPr>
            <w:tcW w:w="17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Peak root strain at 5 gauges; ±25 µε (digitised); calculated mesh deflection 17 µm at 200 N·m</w:t>
            </w:r>
          </w:p>
        </w:tc>
        <w:tc>
          <w:tcPr>
            <w:tcW w:w="127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Calibration (</w:t>
            </w:r>
            <w:r>
              <w:rPr>
                <w:i/>
                <w:iCs/>
                <w:sz w:val="16"/>
                <w:szCs w:val="16"/>
              </w:rPr>
              <w:t xml:space="preserve">C</w:t>
            </w:r>
            <w:r>
              <w:rPr>
                <w:i/>
                <w:iCs/>
                <w:sz w:val="16"/>
                <w:szCs w:val="16"/>
                <w:vertAlign w:val="subscript"/>
              </w:rPr>
              <w:t xml:space="preserve">β</w:t>
            </w:r>
            <w:r>
              <w:rPr>
                <w:sz w:val="16"/>
                <w:szCs w:val="16"/>
              </w:rPr>
              <w:t xml:space="preserve"> = 0); internal validation (</w:t>
            </w:r>
            <w:r>
              <w:rPr>
                <w:i/>
                <w:iCs/>
                <w:sz w:val="16"/>
                <w:szCs w:val="16"/>
              </w:rPr>
              <w:t xml:space="preserve">C</w:t>
            </w:r>
            <w:r>
              <w:rPr>
                <w:i/>
                <w:iCs/>
                <w:sz w:val="16"/>
                <w:szCs w:val="16"/>
                <w:vertAlign w:val="subscript"/>
              </w:rPr>
              <w:t xml:space="preserve">β</w:t>
            </w:r>
            <w:r>
              <w:rPr>
                <w:sz w:val="16"/>
                <w:szCs w:val="16"/>
              </w:rPr>
              <w:t xml:space="preserve"> = 25 µm)</w:t>
            </w:r>
          </w:p>
        </w:tc>
      </w:tr>
      <w:tr>
        <w:trPr>
          <w:cantSplit/>
        </w:trPr>
        <w:tc>
          <w:tcPr>
            <w:tcW w:w="15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Hotait et al. [5]</w:t>
            </w:r>
          </w:p>
        </w:tc>
        <w:tc>
          <w:tcPr>
            <w:tcW w:w="27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Hypoid, face-hobbed, 10/41 teeth, gear face width 31 mm; </w:t>
            </w:r>
            <w:r>
              <w:rPr>
                <w:i/>
                <w:iCs/>
                <w:sz w:val="16"/>
                <w:szCs w:val="16"/>
              </w:rPr>
              <w:t xml:space="preserve">V</w:t>
            </w:r>
            <w:r>
              <w:rPr>
                <w:sz w:val="16"/>
                <w:szCs w:val="16"/>
              </w:rPr>
              <w:t xml:space="preserve">, </w:t>
            </w:r>
            <w:r>
              <w:rPr>
                <w:i/>
                <w:iCs/>
                <w:sz w:val="16"/>
                <w:szCs w:val="16"/>
              </w:rPr>
              <w:t xml:space="preserve">H</w:t>
            </w:r>
            <w:r>
              <w:rPr>
                <w:sz w:val="16"/>
                <w:szCs w:val="16"/>
              </w:rPr>
              <w:t xml:space="preserve"> = 0, ±0.1, ±0.2 mm; </w:t>
            </w:r>
            <w:r>
              <w:rPr>
                <w:i/>
                <w:iCs/>
                <w:sz w:val="16"/>
                <w:szCs w:val="16"/>
              </w:rPr>
              <w:t xml:space="preserve">G</w:t>
            </w:r>
            <w:r>
              <w:rPr>
                <w:sz w:val="16"/>
                <w:szCs w:val="16"/>
              </w:rPr>
              <w:t xml:space="preserve"> = −0.05 to 0.3 mm; </w:t>
            </w:r>
            <w:r>
              <w:rPr>
                <w:i/>
                <w:iCs/>
                <w:sz w:val="16"/>
                <w:szCs w:val="16"/>
              </w:rPr>
              <w:t xml:space="preserve">γ</w:t>
            </w:r>
            <w:r>
              <w:rPr>
                <w:sz w:val="16"/>
                <w:szCs w:val="16"/>
              </w:rPr>
              <w:t xml:space="preserve"> = ±0.1, ±0.2°</w:t>
            </w:r>
          </w:p>
        </w:tc>
        <w:tc>
          <w:tcPr>
            <w:tcW w:w="19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n.r.; ≤ 15 </w:t>
            </w:r>
            <w:r>
              <w:rPr>
                <w:sz w:val="16"/>
                <w:szCs w:val="16"/>
              </w:rPr>
              <w:t xml:space="preserve">min</w:t>
            </w:r>
            <w:r>
              <w:rPr>
                <w:sz w:val="16"/>
                <w:szCs w:val="16"/>
                <w:vertAlign w:val="superscript"/>
              </w:rPr>
              <w:t xml:space="preserve">−1</w:t>
            </w:r>
            <w:r>
              <w:rPr>
                <w:sz w:val="16"/>
                <w:szCs w:val="16"/>
              </w:rPr>
              <w:t xml:space="preserve">; up to 500 N·m</w:t>
            </w:r>
          </w:p>
        </w:tc>
        <w:tc>
          <w:tcPr>
            <w:tcW w:w="17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Peak-to-peak root stress at 5 gauges; ±10 MPa (digitised)</w:t>
            </w:r>
          </w:p>
        </w:tc>
        <w:tc>
          <w:tcPr>
            <w:tcW w:w="127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Linearity test in a non-parallel architecture</w:t>
            </w:r>
          </w:p>
        </w:tc>
      </w:tr>
      <w:tr>
        <w:trPr>
          <w:cantSplit/>
        </w:trPr>
        <w:tc>
          <w:tcPr>
            <w:tcW w:w="15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Ligata et al. [23]</w:t>
            </w:r>
          </w:p>
        </w:tc>
        <w:tc>
          <w:tcPr>
            <w:tcW w:w="27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Helical planetary, 73/26/125 teeth (sun/planet/ring), normal module 1.81 mm, </w:t>
            </w:r>
            <w:r>
              <w:rPr>
                <w:i/>
                <w:iCs/>
                <w:sz w:val="16"/>
                <w:szCs w:val="16"/>
              </w:rPr>
              <w:t xml:space="preserve">β</w:t>
            </w:r>
            <w:r>
              <w:rPr>
                <w:sz w:val="16"/>
                <w:szCs w:val="16"/>
              </w:rPr>
              <w:t xml:space="preserve"> = 13.12° [15], </w:t>
            </w:r>
            <w:r>
              <w:rPr>
                <w:i/>
                <w:iCs/>
                <w:sz w:val="16"/>
                <w:szCs w:val="16"/>
              </w:rPr>
              <w:t xml:space="preserve">b</w:t>
            </w:r>
            <w:r>
              <w:rPr>
                <w:sz w:val="16"/>
                <w:szCs w:val="16"/>
              </w:rPr>
              <w:t xml:space="preserve"> = 25 mm, </w:t>
            </w:r>
            <w:r>
              <w:rPr>
                <w:i/>
                <w:iCs/>
                <w:sz w:val="16"/>
                <w:szCs w:val="16"/>
              </w:rPr>
              <w:t xml:space="preserve">n</w:t>
            </w:r>
            <w:r>
              <w:rPr>
                <w:sz w:val="16"/>
                <w:szCs w:val="16"/>
              </w:rPr>
              <w:t xml:space="preserve"> = 3–6; </w:t>
            </w:r>
            <w:r>
              <w:rPr>
                <w:i/>
                <w:iCs/>
                <w:sz w:val="16"/>
                <w:szCs w:val="16"/>
              </w:rPr>
              <w:t xml:space="preserve">ẽ</w:t>
            </w:r>
            <w:r>
              <w:rPr>
                <w:sz w:val="16"/>
                <w:szCs w:val="16"/>
                <w:vertAlign w:val="subscript"/>
              </w:rPr>
              <w:t xml:space="preserve">c1</w:t>
            </w:r>
            <w:r>
              <w:rPr>
                <w:sz w:val="16"/>
                <w:szCs w:val="16"/>
              </w:rPr>
              <w:t xml:space="preserve"> = 0, ±35, ±70 µm on one pinhole</w:t>
            </w:r>
          </w:p>
        </w:tc>
        <w:tc>
          <w:tcPr>
            <w:tcW w:w="19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n.r. (ground gears); 500 </w:t>
            </w:r>
            <w:r>
              <w:rPr>
                <w:sz w:val="16"/>
                <w:szCs w:val="16"/>
              </w:rPr>
              <w:t xml:space="preserve">min</w:t>
            </w:r>
            <w:r>
              <w:rPr>
                <w:sz w:val="16"/>
                <w:szCs w:val="16"/>
                <w:vertAlign w:val="superscript"/>
              </w:rPr>
              <w:t xml:space="preserve">−1</w:t>
            </w:r>
            <w:r>
              <w:rPr>
                <w:sz w:val="16"/>
                <w:szCs w:val="16"/>
              </w:rPr>
              <w:t xml:space="preserve">; </w:t>
            </w:r>
            <w:r>
              <w:rPr>
                <w:i/>
                <w:iCs/>
                <w:sz w:val="16"/>
                <w:szCs w:val="16"/>
              </w:rPr>
              <w:t xml:space="preserve">T</w:t>
            </w:r>
            <w:r>
              <w:rPr>
                <w:sz w:val="16"/>
                <w:szCs w:val="16"/>
                <w:vertAlign w:val="subscript"/>
              </w:rPr>
              <w:t xml:space="preserve">s</w:t>
            </w:r>
            <w:r>
              <w:rPr>
                <w:sz w:val="16"/>
                <w:szCs w:val="16"/>
              </w:rPr>
              <w:t xml:space="preserve"> = 200–1000 N·m (600–1000 N·m used); floating sun</w:t>
            </w:r>
          </w:p>
        </w:tc>
        <w:tc>
          <w:tcPr>
            <w:tcW w:w="17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Planet load fraction from ring root strain; ±0.01 (digitised)</w:t>
            </w:r>
          </w:p>
        </w:tc>
        <w:tc>
          <w:tcPr>
            <w:tcW w:w="127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Calibration (</w:t>
            </w:r>
            <w:r>
              <w:rPr>
                <w:i/>
                <w:iCs/>
                <w:sz w:val="16"/>
                <w:szCs w:val="16"/>
              </w:rPr>
              <w:t xml:space="preserve">n</w:t>
            </w:r>
            <w:r>
              <w:rPr>
                <w:sz w:val="16"/>
                <w:szCs w:val="16"/>
              </w:rPr>
              <w:t xml:space="preserve"> = 6); internal validation (</w:t>
            </w:r>
            <w:r>
              <w:rPr>
                <w:i/>
                <w:iCs/>
                <w:sz w:val="16"/>
                <w:szCs w:val="16"/>
              </w:rPr>
              <w:t xml:space="preserve">n</w:t>
            </w:r>
            <w:r>
              <w:rPr>
                <w:sz w:val="16"/>
                <w:szCs w:val="16"/>
              </w:rPr>
              <w:t xml:space="preserve"> = 4, 5)</w:t>
            </w:r>
          </w:p>
        </w:tc>
      </w:tr>
      <w:tr>
        <w:trPr>
          <w:cantSplit/>
        </w:trPr>
        <w:tc>
          <w:tcPr>
            <w:tcW w:w="15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Singh et al. [17]</w:t>
            </w:r>
          </w:p>
        </w:tc>
        <w:tc>
          <w:tcPr>
            <w:tcW w:w="27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Same rig and gear sets as [23]</w:t>
            </w:r>
          </w:p>
        </w:tc>
        <w:tc>
          <w:tcPr>
            <w:tcW w:w="19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As [23]; 1000 N·m</w:t>
            </w:r>
          </w:p>
        </w:tc>
        <w:tc>
          <w:tcPr>
            <w:tcW w:w="17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Tabulated load percentages, </w:t>
            </w:r>
            <w:r>
              <w:rPr>
                <w:i/>
                <w:iCs/>
                <w:sz w:val="16"/>
                <w:szCs w:val="16"/>
              </w:rPr>
              <w:t xml:space="preserve">n</w:t>
            </w:r>
            <w:r>
              <w:rPr>
                <w:sz w:val="16"/>
                <w:szCs w:val="16"/>
              </w:rPr>
              <w:t xml:space="preserve"> = 6</w:t>
            </w:r>
          </w:p>
        </w:tc>
        <w:tc>
          <w:tcPr>
            <w:tcW w:w="127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Calibration (</w:t>
            </w:r>
            <w:r>
              <w:rPr>
                <w:i/>
                <w:iCs/>
                <w:sz w:val="16"/>
                <w:szCs w:val="16"/>
              </w:rPr>
              <w:t xml:space="preserve">n</w:t>
            </w:r>
            <w:r>
              <w:rPr>
                <w:sz w:val="16"/>
                <w:szCs w:val="16"/>
              </w:rPr>
              <w:t xml:space="preserve"> = 6)</w:t>
            </w:r>
          </w:p>
        </w:tc>
      </w:tr>
      <w:tr>
        <w:trPr>
          <w:cantSplit/>
        </w:trPr>
        <w:tc>
          <w:tcPr>
            <w:tcW w:w="15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Kim et al. [24]</w:t>
            </w:r>
          </w:p>
        </w:tc>
        <w:tc>
          <w:tcPr>
            <w:tcW w:w="27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Two-stage planetary; stage 1: 50/31/112 teeth, module 3.5 mm, </w:t>
            </w:r>
            <w:r>
              <w:rPr>
                <w:i/>
                <w:iCs/>
                <w:sz w:val="16"/>
                <w:szCs w:val="16"/>
              </w:rPr>
              <w:t xml:space="preserve">n</w:t>
            </w:r>
            <w:r>
              <w:rPr>
                <w:sz w:val="16"/>
                <w:szCs w:val="16"/>
              </w:rPr>
              <w:t xml:space="preserve"> = 6; measured pinhole errors −79 to 82 µm (front/rear mean)</w:t>
            </w:r>
          </w:p>
        </w:tc>
        <w:tc>
          <w:tcPr>
            <w:tcW w:w="19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n.r.; static, output fixed; 25–100% of 9119 N·m (same test analysed in [21])</w:t>
            </w:r>
          </w:p>
        </w:tc>
        <w:tc>
          <w:tcPr>
            <w:tcW w:w="17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Load share per pin (tabulated)</w:t>
            </w:r>
          </w:p>
        </w:tc>
        <w:tc>
          <w:tcPr>
            <w:tcW w:w="127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External validation</w:t>
            </w:r>
          </w:p>
        </w:tc>
      </w:tr>
      <w:tr>
        <w:trPr>
          <w:cantSplit/>
        </w:trPr>
        <w:tc>
          <w:tcPr>
            <w:tcW w:w="15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Kim et al. [25]</w:t>
            </w:r>
          </w:p>
        </w:tc>
        <w:tc>
          <w:tcPr>
            <w:tcW w:w="27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Same gearbox type; stage-1 face width 72 mm; measured pinhole errors −16 to 49 µm</w:t>
            </w:r>
          </w:p>
        </w:tc>
        <w:tc>
          <w:tcPr>
            <w:tcW w:w="19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n.r.; 85.9 </w:t>
            </w:r>
            <w:r>
              <w:rPr>
                <w:sz w:val="16"/>
                <w:szCs w:val="16"/>
              </w:rPr>
              <w:t xml:space="preserve">min</w:t>
            </w:r>
            <w:r>
              <w:rPr>
                <w:sz w:val="16"/>
                <w:szCs w:val="16"/>
                <w:vertAlign w:val="superscript"/>
              </w:rPr>
              <w:t xml:space="preserve">−1</w:t>
            </w:r>
            <w:r>
              <w:rPr>
                <w:sz w:val="16"/>
                <w:szCs w:val="16"/>
              </w:rPr>
              <w:t xml:space="preserve">; 25–125% of 7295 N·m; CW and CCW</w:t>
            </w:r>
          </w:p>
        </w:tc>
        <w:tc>
          <w:tcPr>
            <w:tcW w:w="17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Mesh load factor per pin (tabulated)</w:t>
            </w:r>
          </w:p>
        </w:tc>
        <w:tc>
          <w:tcPr>
            <w:tcW w:w="127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External validation</w:t>
            </w:r>
          </w:p>
        </w:tc>
      </w:tr>
      <w:tr>
        <w:trPr>
          <w:cantSplit/>
        </w:trPr>
        <w:tc>
          <w:tcPr>
            <w:tcW w:w="15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Kumar et al. [6]</w:t>
            </w:r>
          </w:p>
        </w:tc>
        <w:tc>
          <w:tcPr>
            <w:tcW w:w="27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Spur, 40/40 teeth, module 3 mm, </w:t>
            </w:r>
            <w:r>
              <w:rPr>
                <w:i/>
                <w:iCs/>
                <w:sz w:val="16"/>
                <w:szCs w:val="16"/>
              </w:rPr>
              <w:t xml:space="preserve">b</w:t>
            </w:r>
            <w:r>
              <w:rPr>
                <w:sz w:val="16"/>
                <w:szCs w:val="16"/>
              </w:rPr>
              <w:t xml:space="preserve"> = 20 mm; axial 6 mm, radial 1–2 mm, angular 2.64–4.67°</w:t>
            </w:r>
          </w:p>
        </w:tc>
        <w:tc>
          <w:tcPr>
            <w:tcW w:w="19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EN 31; unloaded paste impression</w:t>
            </w:r>
          </w:p>
        </w:tc>
        <w:tc>
          <w:tcPr>
            <w:tcW w:w="17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Contact area by CMM (tabulated)</w:t>
            </w:r>
          </w:p>
        </w:tc>
        <w:tc>
          <w:tcPr>
            <w:tcW w:w="127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Zero-load limit</w:t>
            </w:r>
          </w:p>
        </w:tc>
      </w:tr>
      <w:tr>
        <w:trPr>
          <w:cantSplit/>
        </w:trPr>
        <w:tc>
          <w:tcPr>
            <w:tcW w:w="1500" w:type="dxa"/>
            <w:tcBorders>
              <w:top w:val="nil"/>
              <w:left w:val="nil"/>
              <w:bottom w:val="single" w:sz="6" w:space="0" w:color="000000"/>
              <w:right w:val="nil"/>
            </w:tcBorders>
            <w:tcMar>
              <w:top w:w="30" w:type="dxa"/>
              <w:left w:w="60" w:type="dxa"/>
              <w:bottom w:w="30" w:type="dxa"/>
              <w:right w:w="60" w:type="dxa"/>
            </w:tcMar>
          </w:tcPr>
          <w:p>
            <w:pPr>
              <w:spacing w:before="0" w:after="0" w:line="240" w:lineRule="auto"/>
              <w:jc w:val="left"/>
            </w:pPr>
            <w:r>
              <w:rPr>
                <w:sz w:val="16"/>
                <w:szCs w:val="16"/>
              </w:rPr>
              <w:t xml:space="preserve">Xiong and Chen [30]</w:t>
            </w:r>
          </w:p>
        </w:tc>
        <w:tc>
          <w:tcPr>
            <w:tcW w:w="2700" w:type="dxa"/>
            <w:tcBorders>
              <w:top w:val="nil"/>
              <w:left w:val="nil"/>
              <w:bottom w:val="single" w:sz="6" w:space="0" w:color="000000"/>
              <w:right w:val="nil"/>
            </w:tcBorders>
            <w:tcMar>
              <w:top w:w="30" w:type="dxa"/>
              <w:left w:w="60" w:type="dxa"/>
              <w:bottom w:w="30" w:type="dxa"/>
              <w:right w:w="60" w:type="dxa"/>
            </w:tcMar>
          </w:tcPr>
          <w:p>
            <w:pPr>
              <w:spacing w:before="0" w:after="0" w:line="240" w:lineRule="auto"/>
              <w:jc w:val="left"/>
            </w:pPr>
            <w:r>
              <w:rPr>
                <w:sz w:val="16"/>
                <w:szCs w:val="16"/>
              </w:rPr>
              <w:t xml:space="preserve">Spur, 61/61 teeth, module 4 mm, </w:t>
            </w:r>
            <w:r>
              <w:rPr>
                <w:i/>
                <w:iCs/>
                <w:sz w:val="16"/>
                <w:szCs w:val="16"/>
              </w:rPr>
              <w:t xml:space="preserve">b</w:t>
            </w:r>
            <w:r>
              <w:rPr>
                <w:sz w:val="16"/>
                <w:szCs w:val="16"/>
              </w:rPr>
              <w:t xml:space="preserve"> = 40 mm; </w:t>
            </w:r>
            <w:r>
              <w:rPr>
                <w:i/>
                <w:iCs/>
                <w:sz w:val="16"/>
                <w:szCs w:val="16"/>
              </w:rPr>
              <w:t xml:space="preserve">C</w:t>
            </w:r>
            <w:r>
              <w:rPr>
                <w:i/>
                <w:iCs/>
                <w:sz w:val="16"/>
                <w:szCs w:val="16"/>
                <w:vertAlign w:val="subscript"/>
              </w:rPr>
              <w:t xml:space="preserve">β</w:t>
            </w:r>
            <w:r>
              <w:rPr>
                <w:sz w:val="16"/>
                <w:szCs w:val="16"/>
              </w:rPr>
              <w:t xml:space="preserve"> = 26, 53, 88 µm; eccentric sleeve on output shaft</w:t>
            </w:r>
          </w:p>
        </w:tc>
        <w:tc>
          <w:tcPr>
            <w:tcW w:w="1900" w:type="dxa"/>
            <w:tcBorders>
              <w:top w:val="nil"/>
              <w:left w:val="nil"/>
              <w:bottom w:val="single" w:sz="6" w:space="0" w:color="000000"/>
              <w:right w:val="nil"/>
            </w:tcBorders>
            <w:tcMar>
              <w:top w:w="30" w:type="dxa"/>
              <w:left w:w="60" w:type="dxa"/>
              <w:bottom w:w="30" w:type="dxa"/>
              <w:right w:w="60" w:type="dxa"/>
            </w:tcMar>
          </w:tcPr>
          <w:p>
            <w:pPr>
              <w:spacing w:before="0" w:after="0" w:line="240" w:lineRule="auto"/>
              <w:jc w:val="left"/>
            </w:pPr>
            <w:r>
              <w:rPr>
                <w:sz w:val="16"/>
                <w:szCs w:val="16"/>
              </w:rPr>
              <w:t xml:space="preserve">n.r.; 50–1200 </w:t>
            </w:r>
            <w:r>
              <w:rPr>
                <w:sz w:val="16"/>
                <w:szCs w:val="16"/>
              </w:rPr>
              <w:t xml:space="preserve">min</w:t>
            </w:r>
            <w:r>
              <w:rPr>
                <w:sz w:val="16"/>
                <w:szCs w:val="16"/>
                <w:vertAlign w:val="superscript"/>
              </w:rPr>
              <w:t xml:space="preserve">−1</w:t>
            </w:r>
            <w:r>
              <w:rPr>
                <w:sz w:val="16"/>
                <w:szCs w:val="16"/>
              </w:rPr>
              <w:t xml:space="preserve">; 0 and 30 N·m</w:t>
            </w:r>
          </w:p>
        </w:tc>
        <w:tc>
          <w:tcPr>
            <w:tcW w:w="1700" w:type="dxa"/>
            <w:tcBorders>
              <w:top w:val="nil"/>
              <w:left w:val="nil"/>
              <w:bottom w:val="single" w:sz="6" w:space="0" w:color="000000"/>
              <w:right w:val="nil"/>
            </w:tcBorders>
            <w:tcMar>
              <w:top w:w="30" w:type="dxa"/>
              <w:left w:w="60" w:type="dxa"/>
              <w:bottom w:w="30" w:type="dxa"/>
              <w:right w:w="60" w:type="dxa"/>
            </w:tcMar>
          </w:tcPr>
          <w:p>
            <w:pPr>
              <w:spacing w:before="0" w:after="0" w:line="240" w:lineRule="auto"/>
              <w:jc w:val="left"/>
            </w:pPr>
            <w:r>
              <w:rPr>
                <w:sz w:val="16"/>
                <w:szCs w:val="16"/>
              </w:rPr>
              <w:t xml:space="preserve">Dynamic TE harmonics by encoders; misalignment n.r.</w:t>
            </w:r>
          </w:p>
        </w:tc>
        <w:tc>
          <w:tcPr>
            <w:tcW w:w="1270" w:type="dxa"/>
            <w:tcBorders>
              <w:top w:val="nil"/>
              <w:left w:val="nil"/>
              <w:bottom w:val="single" w:sz="6" w:space="0" w:color="000000"/>
              <w:right w:val="nil"/>
            </w:tcBorders>
            <w:tcMar>
              <w:top w:w="30" w:type="dxa"/>
              <w:left w:w="60" w:type="dxa"/>
              <w:bottom w:w="30" w:type="dxa"/>
              <w:right w:w="60" w:type="dxa"/>
            </w:tcMar>
          </w:tcPr>
          <w:p>
            <w:pPr>
              <w:spacing w:before="0" w:after="0" w:line="240" w:lineRule="auto"/>
              <w:jc w:val="left"/>
            </w:pPr>
            <w:r>
              <w:rPr>
                <w:sz w:val="16"/>
                <w:szCs w:val="16"/>
              </w:rPr>
              <w:t xml:space="preserve">Directional TE evidence</w:t>
            </w:r>
          </w:p>
        </w:tc>
      </w:tr>
    </w:tbl>
    <w:p>
      <w:pPr>
        <w:spacing w:before="0" w:after="60" w:line="240" w:lineRule="auto"/>
        <w:jc w:val="both"/>
      </w:pPr>
    </w:p>
    <w:p>
      <w:pPr>
        <w:pStyle w:val="Balk2"/>
        <w:keepNext/>
        <w:spacing w:before="180" w:after="80"/>
      </w:pPr>
      <w:r>
        <w:t xml:space="preserve">3.5 Data Extraction and Harmonisation</w:t>
      </w:r>
    </w:p>
    <w:p>
      <w:pPr>
        <w:spacing w:before="0" w:after="120" w:line="264" w:lineRule="auto"/>
        <w:jc w:val="both"/>
      </w:pPr>
      <w:r>
        <w:t xml:space="preserve">Tabulated values were used where available [6, 17, 24, 25]. Other curves were digitised at 200 dpi by locating the axis frames from pixel rows and columns and extracting colour-thresholded marker centroids at the known gauge or abscissa positions, with overlapping markers resolved manually. The digitisation uncertainty was taken as ±25 µε for helical root strain, ±10 MPa for hypoid root stress and ±0.01 for planet load fraction; the digitised six-planet load fractions at 1000 N·m [23] differed from the tabulated values [17] by at most 0.005.</w:t>
      </w:r>
    </w:p>
    <w:p>
      <w:pPr>
        <w:spacing w:before="0" w:after="120" w:line="264" w:lineRule="auto"/>
        <w:jc w:val="both"/>
      </w:pPr>
      <w:r>
        <w:t xml:space="preserve">For face-width redistribution, the peak root strain at each gauge was divided by the five-gauge mean, and the normalised slope </w:t>
      </w:r>
      <w:r>
        <w:rPr>
          <w:i/>
          <w:iCs/>
        </w:rPr>
        <w:t xml:space="preserve">S</w:t>
      </w:r>
      <w:r>
        <w:t xml:space="preserve"> was obtained by linear regression on </w:t>
      </w:r>
      <w:r>
        <w:rPr>
          <w:i/>
          <w:iCs/>
        </w:rPr>
        <w:t xml:space="preserve">ζ</w:t>
      </w:r>
      <w:r>
        <w:t xml:space="preserve">. For planetary sets, the load fraction </w:t>
      </w:r>
      <w:r>
        <w:rPr>
          <w:i/>
          <w:iCs/>
        </w:rPr>
        <w:t xml:space="preserve">L</w:t>
      </w:r>
      <w:r>
        <w:rPr>
          <w:i/>
          <w:iCs/>
          <w:vertAlign w:val="subscript"/>
        </w:rPr>
        <w:t xml:space="preserve">i</w:t>
      </w:r>
      <w:r>
        <w:t xml:space="preserve"> was converted to a per-planet factor </w:t>
      </w:r>
      <w:r>
        <w:rPr>
          <w:i/>
          <w:iCs/>
        </w:rPr>
        <w:t xml:space="preserve">nL</w:t>
      </w:r>
      <w:r>
        <w:rPr>
          <w:i/>
          <w:iCs/>
          <w:vertAlign w:val="subscript"/>
        </w:rPr>
        <w:t xml:space="preserve">i</w:t>
      </w:r>
      <w:r>
        <w:t xml:space="preserve"> (</w:t>
      </w:r>
      <w:r>
        <w:rPr>
          <w:i/>
          <w:iCs/>
        </w:rPr>
        <w:t xml:space="preserve">K</w:t>
      </w:r>
      <w:r>
        <w:rPr>
          <w:i/>
          <w:iCs/>
          <w:vertAlign w:val="subscript"/>
        </w:rPr>
        <w:t xml:space="preserve">γ</w:t>
      </w:r>
      <w:r>
        <w:rPr>
          <w:vertAlign w:val="subscript"/>
        </w:rPr>
        <w:t xml:space="preserve">,</w:t>
      </w:r>
      <w:r>
        <w:rPr>
          <w:i/>
          <w:iCs/>
          <w:vertAlign w:val="subscript"/>
        </w:rPr>
        <w:t xml:space="preserve">i</w:t>
      </w:r>
      <w:r>
        <w:t xml:space="preserve"> for the industrial gearbox), whose maximum is </w:t>
      </w:r>
      <w:r>
        <w:rPr>
          <w:i/>
          <w:iCs/>
        </w:rPr>
        <w:t xml:space="preserve">K</w:t>
      </w:r>
      <w:r>
        <w:rPr>
          <w:i/>
          <w:iCs/>
          <w:vertAlign w:val="subscript"/>
        </w:rPr>
        <w:t xml:space="preserve">γ</w:t>
      </w:r>
      <w:r>
        <w:t xml:space="preserve">; </w:t>
      </w:r>
      <w:r>
        <w:rPr>
          <w:i/>
          <w:iCs/>
        </w:rPr>
        <w:t xml:space="preserve">K</w:t>
      </w:r>
      <w:r>
        <w:rPr>
          <w:vertAlign w:val="subscript"/>
        </w:rPr>
        <w:t xml:space="preserve">max</w:t>
      </w:r>
      <w:r>
        <w:t xml:space="preserve"> and </w:t>
      </w:r>
      <w:r>
        <w:rPr>
          <w:i/>
          <w:iCs/>
        </w:rPr>
        <w:t xml:space="preserve">K</w:t>
      </w:r>
      <w:r>
        <w:rPr>
          <w:vertAlign w:val="subscript"/>
        </w:rPr>
        <w:t xml:space="preserve">min</w:t>
      </w:r>
      <w:r>
        <w:t xml:space="preserve"> are the largest and smallest values of </w:t>
      </w:r>
      <w:r>
        <w:rPr>
          <w:i/>
          <w:iCs/>
        </w:rPr>
        <w:t xml:space="preserve">nL</w:t>
      </w:r>
      <w:r>
        <w:rPr>
          <w:i/>
          <w:iCs/>
          <w:vertAlign w:val="subscript"/>
        </w:rPr>
        <w:t xml:space="preserve">i</w:t>
      </w:r>
      <w:r>
        <w:t xml:space="preserve"> in a test condition. Torque was normalised by 1000 N·m sun torque for [23] and by the rated torque for [24, 25]. Unreported mesh deflections were computed from the reported face width and torque with the ISO 6336-1 mean mesh stiffness </w:t>
      </w:r>
      <w:r>
        <w:rPr>
          <w:i/>
          <w:iCs/>
        </w:rPr>
        <w:t xml:space="preserve">c</w:t>
      </w:r>
      <w:r>
        <w:rPr>
          <w:i/>
          <w:iCs/>
          <w:vertAlign w:val="subscript"/>
        </w:rPr>
        <w:t xml:space="preserve">γ</w:t>
      </w:r>
      <w:r>
        <w:t xml:space="preserve"> = 20 N/(mm·µm), a typical value for solid steel spur and helical gears [1]; for planetary sets, they were expressed as the planet-centre displacement produced by the two meshes acting in parallel [15].</w:t>
      </w:r>
    </w:p>
    <w:p>
      <w:pPr>
        <w:pStyle w:val="Balk2"/>
        <w:keepNext/>
        <w:spacing w:before="180" w:after="80"/>
      </w:pPr>
      <w:r>
        <w:t xml:space="preserve">3.6 Data Partition</w:t>
      </w:r>
    </w:p>
    <w:p>
      <w:pPr>
        <w:spacing w:before="0" w:after="120" w:line="264" w:lineRule="auto"/>
        <w:jc w:val="both"/>
      </w:pPr>
      <w:r>
        <w:t xml:space="preserve">The partition (Table 2) was fixed before the final models were fitted. The calibration and internal validation sets come from the same rig (helical pair: uncrowned and crowned gears; planetary sets: six planets and four or five planets), whereas the industrial gearbox data [24, 25] from a different laboratory form the external validation set. The hypoid [5], unloaded contact-area [6] and transmission-error [30] data were used to test linearity in a non-parallel architecture, the zero-load limit and the placement of transmission error on the same coordinate. No validation data were used to choose functional forms, exponents or parameters, except in one labelled recalibration test (Section 4.5).</w:t>
      </w:r>
    </w:p>
    <w:p>
      <w:pPr>
        <w:pStyle w:val="Balk2"/>
        <w:keepNext/>
        <w:spacing w:before="180" w:after="80"/>
      </w:pPr>
      <w:r>
        <w:t xml:space="preserve">3.7 Hypotheses and Statistical Analysis</w:t>
      </w:r>
    </w:p>
    <w:p>
      <w:pPr>
        <w:spacing w:before="0" w:after="120" w:line="264" w:lineRule="auto"/>
        <w:jc w:val="both"/>
      </w:pPr>
      <w:r>
        <w:t xml:space="preserve">The hypotheses and falsification criteria (Table 3) were set before the final fits. Accuracy was measured by the root-mean-square error (RMSE) of the normalised response, and complexity was accounted for with the Akaike information criterion, AIC = </w:t>
      </w:r>
      <w:r>
        <w:rPr>
          <w:i/>
          <w:iCs/>
        </w:rPr>
        <w:t xml:space="preserve">N</w:t>
      </w:r>
      <w:r>
        <w:t xml:space="preserve"> </w:t>
      </w:r>
      <w:r>
        <w:t xml:space="preserve">ln</w:t>
      </w:r>
      <w:r>
        <w:t xml:space="preserve">(RSS/</w:t>
      </w:r>
      <w:r>
        <w:rPr>
          <w:i/>
          <w:iCs/>
        </w:rPr>
        <w:t xml:space="preserve">N</w:t>
      </w:r>
      <w:r>
        <w:t xml:space="preserve">) + 2</w:t>
      </w:r>
      <w:r>
        <w:rPr>
          <w:i/>
          <w:iCs/>
        </w:rPr>
        <w:t xml:space="preserve">k</w:t>
      </w:r>
      <w:r>
        <w:t xml:space="preserve">, where </w:t>
      </w:r>
      <w:r>
        <w:rPr>
          <w:i/>
          <w:iCs/>
        </w:rPr>
        <w:t xml:space="preserve">N</w:t>
      </w:r>
      <w:r>
        <w:t xml:space="preserve"> is the number of observations, RSS the residual sum of squares and </w:t>
      </w:r>
      <w:r>
        <w:rPr>
          <w:i/>
          <w:iCs/>
        </w:rPr>
        <w:t xml:space="preserve">k</w:t>
      </w:r>
      <w:r>
        <w:t xml:space="preserve"> the number of fitted parameters. Parameter uncertainty was expressed as 95% confidence intervals (CI) from a bootstrap in which gauge positions were resampled and Gaussian digitisation noise at the levels of Section 3.5 was added (4000 replicates for the helical pair, 150 for the planetary sets). The torque exponent of each series with all planets loaded was obtained by a straight-line fit of </w:t>
      </w:r>
      <w:r>
        <w:t xml:space="preserve">ln</w:t>
      </w:r>
      <w:r>
        <w:t xml:space="preserve">(</w:t>
      </w:r>
      <w:r>
        <w:rPr>
          <w:i/>
          <w:iCs/>
        </w:rPr>
        <w:t xml:space="preserve">K</w:t>
      </w:r>
      <w:r>
        <w:rPr>
          <w:i/>
          <w:iCs/>
          <w:vertAlign w:val="subscript"/>
        </w:rPr>
        <w:t xml:space="preserve">γ</w:t>
      </w:r>
      <w:r>
        <w:t xml:space="preserve"> − 1) against </w:t>
      </w:r>
      <w:r>
        <w:t xml:space="preserve">ln</w:t>
      </w:r>
      <w:r>
        <w:t xml:space="preserve">(</w:t>
      </w:r>
      <w:r>
        <w:rPr>
          <w:i/>
          <w:iCs/>
        </w:rPr>
        <w:t xml:space="preserve">T</w:t>
      </w:r>
      <w:r>
        <w:t xml:space="preserve">/</w:t>
      </w:r>
      <w:r>
        <w:rPr>
          <w:i/>
          <w:iCs/>
        </w:rPr>
        <w:t xml:space="preserve">T</w:t>
      </w:r>
      <w:r>
        <w:rPr>
          <w:vertAlign w:val="subscript"/>
        </w:rPr>
        <w:t xml:space="preserve">ref</w:t>
      </w:r>
      <w:r>
        <w:t xml:space="preserve">), and the pooled exponent was compared with 1 by a one-sample </w:t>
      </w:r>
      <w:r>
        <w:rPr>
          <w:i/>
          <w:iCs/>
        </w:rPr>
        <w:t xml:space="preserve">t</w:t>
      </w:r>
      <w:r>
        <w:t xml:space="preserve">-test and, without distributional assumptions, by a two-sided sign test.</w:t>
      </w:r>
    </w:p>
    <w:p>
      <w:pPr>
        <w:keepNext/>
        <w:spacing w:before="200" w:after="80" w:line="240" w:lineRule="auto"/>
        <w:jc w:val="both"/>
      </w:pPr>
      <w:r>
        <w:rPr>
          <w:b/>
          <w:bCs/>
          <w:sz w:val="20"/>
          <w:szCs w:val="20"/>
        </w:rPr>
        <w:t xml:space="preserve">Table 3</w:t>
      </w:r>
      <w:r>
        <w:rPr>
          <w:sz w:val="20"/>
          <w:szCs w:val="20"/>
        </w:rPr>
        <w:t xml:space="preserve"> </w:t>
      </w:r>
      <w:r>
        <w:rPr>
          <w:sz w:val="20"/>
          <w:szCs w:val="20"/>
        </w:rPr>
        <w:t xml:space="preserve">Hypotheses, falsification criteria and outcomes</w:t>
      </w:r>
    </w:p>
    <w:tbl>
      <w:tblPr>
        <w:tblW w:w="9070" w:type="dxa"/>
        <w:tblLayout w:type="fixed"/>
        <w:tblCellMar>
          <w:left w:w="60" w:type="dxa"/>
          <w:right w:w="60" w:type="dxa"/>
        </w:tblCellMar>
        <w:tblLook w:val="04A0" w:firstRow="1" w:lastRow="0" w:firstColumn="1" w:lastColumn="0" w:noHBand="0" w:noVBand="1"/>
      </w:tblPr>
      <w:tblGrid>
        <w:gridCol w:w="560"/>
        <w:gridCol w:w="2700"/>
        <w:gridCol w:w="2950"/>
        <w:gridCol w:w="2860"/>
      </w:tblGrid>
      <w:tr>
        <w:trPr>
          <w:cantSplit/>
          <w:tblHeader/>
        </w:trPr>
        <w:tc>
          <w:tcPr>
            <w:tcW w:w="560" w:type="dxa"/>
            <w:tcBorders>
              <w:top w:val="single" w:sz="6" w:space="0" w:color="000000"/>
              <w:left w:val="nil"/>
              <w:bottom w:val="single" w:sz="6" w:space="0" w:color="000000"/>
              <w:right w:val="nil"/>
            </w:tcBorders>
            <w:tcMar>
              <w:top w:w="30" w:type="dxa"/>
              <w:left w:w="60" w:type="dxa"/>
              <w:bottom w:w="30" w:type="dxa"/>
              <w:right w:w="60" w:type="dxa"/>
            </w:tcMar>
          </w:tcPr>
          <w:p>
            <w:pPr>
              <w:spacing w:before="0" w:after="0" w:line="240" w:lineRule="auto"/>
              <w:jc w:val="left"/>
            </w:pPr>
            <w:r>
              <w:rPr>
                <w:b/>
                <w:bCs/>
                <w:sz w:val="16"/>
                <w:szCs w:val="16"/>
              </w:rPr>
              <w:t xml:space="preserve">No.</w:t>
            </w:r>
          </w:p>
        </w:tc>
        <w:tc>
          <w:tcPr>
            <w:tcW w:w="2700" w:type="dxa"/>
            <w:tcBorders>
              <w:top w:val="single" w:sz="6" w:space="0" w:color="000000"/>
              <w:left w:val="nil"/>
              <w:bottom w:val="single" w:sz="6" w:space="0" w:color="000000"/>
              <w:right w:val="nil"/>
            </w:tcBorders>
            <w:tcMar>
              <w:top w:w="30" w:type="dxa"/>
              <w:left w:w="60" w:type="dxa"/>
              <w:bottom w:w="30" w:type="dxa"/>
              <w:right w:w="60" w:type="dxa"/>
            </w:tcMar>
          </w:tcPr>
          <w:p>
            <w:pPr>
              <w:spacing w:before="0" w:after="0" w:line="240" w:lineRule="auto"/>
              <w:jc w:val="left"/>
            </w:pPr>
            <w:r>
              <w:rPr>
                <w:b/>
                <w:bCs/>
                <w:sz w:val="16"/>
                <w:szCs w:val="16"/>
              </w:rPr>
              <w:t xml:space="preserve">Hypothesis</w:t>
            </w:r>
          </w:p>
        </w:tc>
        <w:tc>
          <w:tcPr>
            <w:tcW w:w="2950" w:type="dxa"/>
            <w:tcBorders>
              <w:top w:val="single" w:sz="6" w:space="0" w:color="000000"/>
              <w:left w:val="nil"/>
              <w:bottom w:val="single" w:sz="6" w:space="0" w:color="000000"/>
              <w:right w:val="nil"/>
            </w:tcBorders>
            <w:tcMar>
              <w:top w:w="30" w:type="dxa"/>
              <w:left w:w="60" w:type="dxa"/>
              <w:bottom w:w="30" w:type="dxa"/>
              <w:right w:w="60" w:type="dxa"/>
            </w:tcMar>
          </w:tcPr>
          <w:p>
            <w:pPr>
              <w:spacing w:before="0" w:after="0" w:line="240" w:lineRule="auto"/>
              <w:jc w:val="left"/>
            </w:pPr>
            <w:r>
              <w:rPr>
                <w:b/>
                <w:bCs/>
                <w:sz w:val="16"/>
                <w:szCs w:val="16"/>
              </w:rPr>
              <w:t xml:space="preserve">Test and falsification criterion</w:t>
            </w:r>
          </w:p>
        </w:tc>
        <w:tc>
          <w:tcPr>
            <w:tcW w:w="2860" w:type="dxa"/>
            <w:tcBorders>
              <w:top w:val="single" w:sz="6" w:space="0" w:color="000000"/>
              <w:left w:val="nil"/>
              <w:bottom w:val="single" w:sz="6" w:space="0" w:color="000000"/>
              <w:right w:val="nil"/>
            </w:tcBorders>
            <w:tcMar>
              <w:top w:w="30" w:type="dxa"/>
              <w:left w:w="60" w:type="dxa"/>
              <w:bottom w:w="30" w:type="dxa"/>
              <w:right w:w="60" w:type="dxa"/>
            </w:tcMar>
          </w:tcPr>
          <w:p>
            <w:pPr>
              <w:spacing w:before="0" w:after="0" w:line="240" w:lineRule="auto"/>
              <w:jc w:val="left"/>
            </w:pPr>
            <w:r>
              <w:rPr>
                <w:b/>
                <w:bCs/>
                <w:sz w:val="16"/>
                <w:szCs w:val="16"/>
              </w:rPr>
              <w:t xml:space="preserve">Outcome</w:t>
            </w:r>
          </w:p>
        </w:tc>
      </w:tr>
      <w:tr>
        <w:trPr>
          <w:cantSplit/>
        </w:trPr>
        <w:tc>
          <w:tcPr>
            <w:tcW w:w="56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H1</w:t>
            </w:r>
          </w:p>
        </w:tc>
        <w:tc>
          <w:tcPr>
            <w:tcW w:w="27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The face-width redistribution slope is linear in </w:t>
            </w:r>
            <w:r>
              <w:rPr>
                <w:i/>
                <w:iCs/>
                <w:sz w:val="16"/>
                <w:szCs w:val="16"/>
              </w:rPr>
              <w:t xml:space="preserve">Π</w:t>
            </w:r>
            <w:r>
              <w:rPr>
                <w:sz w:val="16"/>
                <w:szCs w:val="16"/>
              </w:rPr>
              <w:t xml:space="preserve"> with </w:t>
            </w:r>
            <w:r>
              <w:rPr>
                <w:i/>
                <w:iCs/>
                <w:sz w:val="16"/>
                <w:szCs w:val="16"/>
              </w:rPr>
              <w:t xml:space="preserve">κ</w:t>
            </w:r>
            <w:r>
              <w:rPr>
                <w:sz w:val="16"/>
                <w:szCs w:val="16"/>
              </w:rPr>
              <w:t xml:space="preserve"> = 1</w:t>
            </w:r>
          </w:p>
        </w:tc>
        <w:tc>
          <w:tcPr>
            <w:tcW w:w="2950" w:type="dxa"/>
            <w:tcBorders>
              <w:top w:val="nil"/>
              <w:left w:val="nil"/>
              <w:bottom w:val="nil"/>
              <w:right w:val="nil"/>
            </w:tcBorders>
            <w:tcMar>
              <w:top w:w="30" w:type="dxa"/>
              <w:left w:w="60" w:type="dxa"/>
              <w:bottom w:w="30" w:type="dxa"/>
              <w:right w:w="60" w:type="dxa"/>
            </w:tcMar>
          </w:tcPr>
          <w:p>
            <w:pPr>
              <w:spacing w:before="0" w:after="0" w:line="240" w:lineRule="auto"/>
              <w:jc w:val="left"/>
            </w:pPr>
            <w:r>
              <w:rPr>
                <w:i/>
                <w:iCs/>
                <w:sz w:val="16"/>
                <w:szCs w:val="16"/>
              </w:rPr>
              <w:t xml:space="preserve">S</w:t>
            </w:r>
            <w:r>
              <w:rPr>
                <w:sz w:val="16"/>
                <w:szCs w:val="16"/>
              </w:rPr>
              <w:t xml:space="preserve"> versus </w:t>
            </w:r>
            <w:r>
              <w:rPr>
                <w:i/>
                <w:iCs/>
                <w:sz w:val="16"/>
                <w:szCs w:val="16"/>
              </w:rPr>
              <w:t xml:space="preserve">Π</w:t>
            </w:r>
            <w:r>
              <w:rPr>
                <w:sz w:val="16"/>
                <w:szCs w:val="16"/>
              </w:rPr>
              <w:t xml:space="preserve">; 95% CI of </w:t>
            </w:r>
            <w:r>
              <w:rPr>
                <w:i/>
                <w:iCs/>
                <w:sz w:val="16"/>
                <w:szCs w:val="16"/>
              </w:rPr>
              <w:t xml:space="preserve">κ</w:t>
            </w:r>
            <w:r>
              <w:rPr>
                <w:sz w:val="16"/>
                <w:szCs w:val="16"/>
              </w:rPr>
              <w:t xml:space="preserve"> includes 1; </w:t>
            </w:r>
            <w:r>
              <w:rPr>
                <w:i/>
                <w:iCs/>
                <w:sz w:val="16"/>
                <w:szCs w:val="16"/>
              </w:rPr>
              <w:t xml:space="preserve">R</w:t>
            </w:r>
            <w:r>
              <w:rPr>
                <w:sz w:val="16"/>
                <w:szCs w:val="16"/>
                <w:vertAlign w:val="superscript"/>
              </w:rPr>
              <w:t xml:space="preserve">2</w:t>
            </w:r>
            <w:r>
              <w:rPr>
                <w:sz w:val="16"/>
                <w:szCs w:val="16"/>
              </w:rPr>
              <w:t xml:space="preserve"> &gt; 0.9</w:t>
            </w:r>
          </w:p>
        </w:tc>
        <w:tc>
          <w:tcPr>
            <w:tcW w:w="286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Supported: </w:t>
            </w:r>
            <w:r>
              <w:rPr>
                <w:i/>
                <w:iCs/>
                <w:sz w:val="16"/>
                <w:szCs w:val="16"/>
              </w:rPr>
              <w:t xml:space="preserve">κ</w:t>
            </w:r>
            <w:r>
              <w:rPr>
                <w:sz w:val="16"/>
                <w:szCs w:val="16"/>
              </w:rPr>
              <w:t xml:space="preserve"> = 0.90 (0.80–1.05), </w:t>
            </w:r>
            <w:r>
              <w:rPr>
                <w:i/>
                <w:iCs/>
                <w:sz w:val="16"/>
                <w:szCs w:val="16"/>
              </w:rPr>
              <w:t xml:space="preserve">R</w:t>
            </w:r>
            <w:r>
              <w:rPr>
                <w:sz w:val="16"/>
                <w:szCs w:val="16"/>
                <w:vertAlign w:val="superscript"/>
              </w:rPr>
              <w:t xml:space="preserve">2</w:t>
            </w:r>
            <w:r>
              <w:rPr>
                <w:sz w:val="16"/>
                <w:szCs w:val="16"/>
              </w:rPr>
              <w:t xml:space="preserve"> = 0.975</w:t>
            </w:r>
          </w:p>
        </w:tc>
      </w:tr>
      <w:tr>
        <w:trPr>
          <w:cantSplit/>
        </w:trPr>
        <w:tc>
          <w:tcPr>
            <w:tcW w:w="56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H2</w:t>
            </w:r>
          </w:p>
        </w:tc>
        <w:tc>
          <w:tcPr>
            <w:tcW w:w="27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The helical calibration transfers to a crowned pair</w:t>
            </w:r>
          </w:p>
        </w:tc>
        <w:tc>
          <w:tcPr>
            <w:tcW w:w="295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RMSE for </w:t>
            </w:r>
            <w:r>
              <w:rPr>
                <w:i/>
                <w:iCs/>
                <w:sz w:val="16"/>
                <w:szCs w:val="16"/>
              </w:rPr>
              <w:t xml:space="preserve">C</w:t>
            </w:r>
            <w:r>
              <w:rPr>
                <w:i/>
                <w:iCs/>
                <w:sz w:val="16"/>
                <w:szCs w:val="16"/>
                <w:vertAlign w:val="subscript"/>
              </w:rPr>
              <w:t xml:space="preserve">β</w:t>
            </w:r>
            <w:r>
              <w:rPr>
                <w:sz w:val="16"/>
                <w:szCs w:val="16"/>
              </w:rPr>
              <w:t xml:space="preserve"> = 25 µm below that of the nominal model</w:t>
            </w:r>
          </w:p>
        </w:tc>
        <w:tc>
          <w:tcPr>
            <w:tcW w:w="286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Partly supported: 0.148 versus 0.189; systematic residuals at the face ends</w:t>
            </w:r>
          </w:p>
        </w:tc>
      </w:tr>
      <w:tr>
        <w:trPr>
          <w:cantSplit/>
        </w:trPr>
        <w:tc>
          <w:tcPr>
            <w:tcW w:w="56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H3</w:t>
            </w:r>
          </w:p>
        </w:tc>
        <w:tc>
          <w:tcPr>
            <w:tcW w:w="27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Redistribution is linear in the misalignment in a non-parallel architecture</w:t>
            </w:r>
          </w:p>
        </w:tc>
        <w:tc>
          <w:tcPr>
            <w:tcW w:w="295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Hypoid toe–heel slope versus </w:t>
            </w:r>
            <w:r>
              <w:rPr>
                <w:i/>
                <w:iCs/>
                <w:sz w:val="16"/>
                <w:szCs w:val="16"/>
              </w:rPr>
              <w:t xml:space="preserve">V</w:t>
            </w:r>
            <w:r>
              <w:rPr>
                <w:sz w:val="16"/>
                <w:szCs w:val="16"/>
              </w:rPr>
              <w:t xml:space="preserve">; </w:t>
            </w:r>
            <w:r>
              <w:rPr>
                <w:i/>
                <w:iCs/>
                <w:sz w:val="16"/>
                <w:szCs w:val="16"/>
              </w:rPr>
              <w:t xml:space="preserve">R</w:t>
            </w:r>
            <w:r>
              <w:rPr>
                <w:sz w:val="16"/>
                <w:szCs w:val="16"/>
                <w:vertAlign w:val="superscript"/>
              </w:rPr>
              <w:t xml:space="preserve">2</w:t>
            </w:r>
            <w:r>
              <w:rPr>
                <w:sz w:val="16"/>
                <w:szCs w:val="16"/>
              </w:rPr>
              <w:t xml:space="preserve"> &gt; 0.95</w:t>
            </w:r>
          </w:p>
        </w:tc>
        <w:tc>
          <w:tcPr>
            <w:tcW w:w="286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Supported at 300 N·m: </w:t>
            </w:r>
            <w:r>
              <w:rPr>
                <w:i/>
                <w:iCs/>
                <w:sz w:val="16"/>
                <w:szCs w:val="16"/>
              </w:rPr>
              <w:t xml:space="preserve">R</w:t>
            </w:r>
            <w:r>
              <w:rPr>
                <w:sz w:val="16"/>
                <w:szCs w:val="16"/>
                <w:vertAlign w:val="superscript"/>
              </w:rPr>
              <w:t xml:space="preserve">2</w:t>
            </w:r>
            <w:r>
              <w:rPr>
                <w:sz w:val="16"/>
                <w:szCs w:val="16"/>
              </w:rPr>
              <w:t xml:space="preserve"> = 0.993</w:t>
            </w:r>
          </w:p>
        </w:tc>
      </w:tr>
      <w:tr>
        <w:trPr>
          <w:cantSplit/>
        </w:trPr>
        <w:tc>
          <w:tcPr>
            <w:tcW w:w="56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H4</w:t>
            </w:r>
          </w:p>
        </w:tc>
        <w:tc>
          <w:tcPr>
            <w:tcW w:w="27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A one-parameter model reproduces planet loads as well as a multibody model</w:t>
            </w:r>
          </w:p>
        </w:tc>
        <w:tc>
          <w:tcPr>
            <w:tcW w:w="295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Six-planet load-share RMSE not above that of [17]</w:t>
            </w:r>
          </w:p>
        </w:tc>
        <w:tc>
          <w:tcPr>
            <w:tcW w:w="286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Supported: 1.63 versus 1.68 percentage points</w:t>
            </w:r>
          </w:p>
        </w:tc>
      </w:tr>
      <w:tr>
        <w:trPr>
          <w:cantSplit/>
        </w:trPr>
        <w:tc>
          <w:tcPr>
            <w:tcW w:w="56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H5</w:t>
            </w:r>
          </w:p>
        </w:tc>
        <w:tc>
          <w:tcPr>
            <w:tcW w:w="2700" w:type="dxa"/>
            <w:tcBorders>
              <w:top w:val="nil"/>
              <w:left w:val="nil"/>
              <w:bottom w:val="nil"/>
              <w:right w:val="nil"/>
            </w:tcBorders>
            <w:tcMar>
              <w:top w:w="30" w:type="dxa"/>
              <w:left w:w="60" w:type="dxa"/>
              <w:bottom w:w="30" w:type="dxa"/>
              <w:right w:w="60" w:type="dxa"/>
            </w:tcMar>
          </w:tcPr>
          <w:p>
            <w:pPr>
              <w:spacing w:before="0" w:after="0" w:line="240" w:lineRule="auto"/>
              <w:jc w:val="left"/>
            </w:pPr>
            <w:r>
              <w:rPr>
                <w:i/>
                <w:iCs/>
                <w:sz w:val="16"/>
                <w:szCs w:val="16"/>
              </w:rPr>
              <w:t xml:space="preserve">K</w:t>
            </w:r>
            <w:r>
              <w:rPr>
                <w:i/>
                <w:iCs/>
                <w:sz w:val="16"/>
                <w:szCs w:val="16"/>
                <w:vertAlign w:val="subscript"/>
              </w:rPr>
              <w:t xml:space="preserve">γ</w:t>
            </w:r>
            <w:r>
              <w:rPr>
                <w:sz w:val="16"/>
                <w:szCs w:val="16"/>
              </w:rPr>
              <w:t xml:space="preserve"> − 1 decreases with torque as </w:t>
            </w:r>
            <w:r>
              <w:rPr>
                <w:i/>
                <w:iCs/>
                <w:sz w:val="16"/>
                <w:szCs w:val="16"/>
              </w:rPr>
              <w:t xml:space="preserve">T</w:t>
            </w:r>
            <w:r>
              <w:rPr>
                <w:sz w:val="16"/>
                <w:szCs w:val="16"/>
                <w:vertAlign w:val="superscript"/>
              </w:rPr>
              <w:t xml:space="preserve">−1</w:t>
            </w:r>
            <w:r>
              <w:rPr>
                <w:sz w:val="16"/>
                <w:szCs w:val="16"/>
              </w:rPr>
              <w:t xml:space="preserve"> (linear path compliance)</w:t>
            </w:r>
          </w:p>
        </w:tc>
        <w:tc>
          <w:tcPr>
            <w:tcW w:w="295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95% CI of the pooled torque exponent includes 1</w:t>
            </w:r>
          </w:p>
        </w:tc>
        <w:tc>
          <w:tcPr>
            <w:tcW w:w="286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Rejected: 0.73 (0.64–0.83); </w:t>
            </w:r>
            <w:r>
              <w:rPr>
                <w:i/>
                <w:iCs/>
                <w:sz w:val="16"/>
                <w:szCs w:val="16"/>
              </w:rPr>
              <w:t xml:space="preserve">t</w:t>
            </w:r>
            <w:r>
              <w:rPr>
                <w:sz w:val="16"/>
                <w:szCs w:val="16"/>
              </w:rPr>
              <w:t xml:space="preserve">-test and sign test </w:t>
            </w:r>
            <w:r>
              <w:rPr>
                <w:i/>
                <w:iCs/>
                <w:sz w:val="16"/>
                <w:szCs w:val="16"/>
              </w:rPr>
              <w:t xml:space="preserve">p</w:t>
            </w:r>
            <w:r>
              <w:rPr>
                <w:sz w:val="16"/>
                <w:szCs w:val="16"/>
              </w:rPr>
              <w:t xml:space="preserve"> &lt; 0.001; 14 of 15 series below 1</w:t>
            </w:r>
          </w:p>
        </w:tc>
      </w:tr>
      <w:tr>
        <w:trPr>
          <w:cantSplit/>
        </w:trPr>
        <w:tc>
          <w:tcPr>
            <w:tcW w:w="56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H6</w:t>
            </w:r>
          </w:p>
        </w:tc>
        <w:tc>
          <w:tcPr>
            <w:tcW w:w="2700" w:type="dxa"/>
            <w:tcBorders>
              <w:top w:val="nil"/>
              <w:left w:val="nil"/>
              <w:bottom w:val="nil"/>
              <w:right w:val="nil"/>
            </w:tcBorders>
            <w:tcMar>
              <w:top w:w="30" w:type="dxa"/>
              <w:left w:w="60" w:type="dxa"/>
              <w:bottom w:w="30" w:type="dxa"/>
              <w:right w:w="60" w:type="dxa"/>
            </w:tcMar>
          </w:tcPr>
          <w:p>
            <w:pPr>
              <w:spacing w:before="0" w:after="0" w:line="240" w:lineRule="auto"/>
              <w:jc w:val="left"/>
            </w:pPr>
            <w:r>
              <w:rPr>
                <w:i/>
                <w:iCs/>
                <w:sz w:val="16"/>
                <w:szCs w:val="16"/>
              </w:rPr>
              <w:t xml:space="preserve">η</w:t>
            </w:r>
            <w:r>
              <w:rPr>
                <w:sz w:val="16"/>
                <w:szCs w:val="16"/>
              </w:rPr>
              <w:t xml:space="preserve"> and </w:t>
            </w:r>
            <w:r>
              <w:rPr>
                <w:i/>
                <w:iCs/>
                <w:sz w:val="16"/>
                <w:szCs w:val="16"/>
              </w:rPr>
              <w:t xml:space="preserve">m</w:t>
            </w:r>
            <w:r>
              <w:rPr>
                <w:sz w:val="16"/>
                <w:szCs w:val="16"/>
              </w:rPr>
              <w:t xml:space="preserve"> transfer to an independent industrial gearbox</w:t>
            </w:r>
          </w:p>
        </w:tc>
        <w:tc>
          <w:tcPr>
            <w:tcW w:w="295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Per-pin RMSE below equal sharing in both external sets; peak </w:t>
            </w:r>
            <w:r>
              <w:rPr>
                <w:i/>
                <w:iCs/>
                <w:sz w:val="16"/>
                <w:szCs w:val="16"/>
              </w:rPr>
              <w:t xml:space="preserve">K</w:t>
            </w:r>
            <w:r>
              <w:rPr>
                <w:i/>
                <w:iCs/>
                <w:sz w:val="16"/>
                <w:szCs w:val="16"/>
                <w:vertAlign w:val="subscript"/>
              </w:rPr>
              <w:t xml:space="preserve">γ</w:t>
            </w:r>
            <w:r>
              <w:rPr>
                <w:sz w:val="16"/>
                <w:szCs w:val="16"/>
              </w:rPr>
              <w:t xml:space="preserve"> better than 1.44</w:t>
            </w:r>
          </w:p>
        </w:tc>
        <w:tc>
          <w:tcPr>
            <w:tcW w:w="286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Not supported (one of two data sets; peak </w:t>
            </w:r>
            <w:r>
              <w:rPr>
                <w:i/>
                <w:iCs/>
                <w:sz w:val="16"/>
                <w:szCs w:val="16"/>
              </w:rPr>
              <w:t xml:space="preserve">K</w:t>
            </w:r>
            <w:r>
              <w:rPr>
                <w:i/>
                <w:iCs/>
                <w:sz w:val="16"/>
                <w:szCs w:val="16"/>
                <w:vertAlign w:val="subscript"/>
              </w:rPr>
              <w:t xml:space="preserve">γ</w:t>
            </w:r>
            <w:r>
              <w:rPr>
                <w:sz w:val="16"/>
                <w:szCs w:val="16"/>
              </w:rPr>
              <w:t xml:space="preserve"> worse)</w:t>
            </w:r>
          </w:p>
        </w:tc>
      </w:tr>
      <w:tr>
        <w:trPr>
          <w:cantSplit/>
        </w:trPr>
        <w:tc>
          <w:tcPr>
            <w:tcW w:w="560" w:type="dxa"/>
            <w:tcBorders>
              <w:top w:val="nil"/>
              <w:left w:val="nil"/>
              <w:bottom w:val="single" w:sz="6" w:space="0" w:color="000000"/>
              <w:right w:val="nil"/>
            </w:tcBorders>
            <w:tcMar>
              <w:top w:w="30" w:type="dxa"/>
              <w:left w:w="60" w:type="dxa"/>
              <w:bottom w:w="30" w:type="dxa"/>
              <w:right w:w="60" w:type="dxa"/>
            </w:tcMar>
          </w:tcPr>
          <w:p>
            <w:pPr>
              <w:spacing w:before="0" w:after="0" w:line="240" w:lineRule="auto"/>
              <w:jc w:val="left"/>
            </w:pPr>
            <w:r>
              <w:rPr>
                <w:sz w:val="16"/>
                <w:szCs w:val="16"/>
              </w:rPr>
              <w:t xml:space="preserve">H7</w:t>
            </w:r>
          </w:p>
        </w:tc>
        <w:tc>
          <w:tcPr>
            <w:tcW w:w="2700" w:type="dxa"/>
            <w:tcBorders>
              <w:top w:val="nil"/>
              <w:left w:val="nil"/>
              <w:bottom w:val="single" w:sz="6" w:space="0" w:color="000000"/>
              <w:right w:val="nil"/>
            </w:tcBorders>
            <w:tcMar>
              <w:top w:w="30" w:type="dxa"/>
              <w:left w:w="60" w:type="dxa"/>
              <w:bottom w:w="30" w:type="dxa"/>
              <w:right w:w="60" w:type="dxa"/>
            </w:tcMar>
          </w:tcPr>
          <w:p>
            <w:pPr>
              <w:spacing w:before="0" w:after="0" w:line="240" w:lineRule="auto"/>
              <w:jc w:val="left"/>
            </w:pPr>
            <w:r>
              <w:rPr>
                <w:sz w:val="16"/>
                <w:szCs w:val="16"/>
              </w:rPr>
              <w:t xml:space="preserve">Transmission error can be placed on the </w:t>
            </w:r>
            <w:r>
              <w:rPr>
                <w:i/>
                <w:iCs/>
                <w:sz w:val="16"/>
                <w:szCs w:val="16"/>
              </w:rPr>
              <w:t xml:space="preserve">Π</w:t>
            </w:r>
            <w:r>
              <w:rPr>
                <w:sz w:val="16"/>
                <w:szCs w:val="16"/>
              </w:rPr>
              <w:t xml:space="preserve"> coordinate</w:t>
            </w:r>
          </w:p>
        </w:tc>
        <w:tc>
          <w:tcPr>
            <w:tcW w:w="2950" w:type="dxa"/>
            <w:tcBorders>
              <w:top w:val="nil"/>
              <w:left w:val="nil"/>
              <w:bottom w:val="single" w:sz="6" w:space="0" w:color="000000"/>
              <w:right w:val="nil"/>
            </w:tcBorders>
            <w:tcMar>
              <w:top w:w="30" w:type="dxa"/>
              <w:left w:w="60" w:type="dxa"/>
              <w:bottom w:w="30" w:type="dxa"/>
              <w:right w:w="60" w:type="dxa"/>
            </w:tcMar>
          </w:tcPr>
          <w:p>
            <w:pPr>
              <w:spacing w:before="0" w:after="0" w:line="240" w:lineRule="auto"/>
              <w:jc w:val="left"/>
            </w:pPr>
            <w:r>
              <w:rPr>
                <w:sz w:val="16"/>
                <w:szCs w:val="16"/>
              </w:rPr>
              <w:t xml:space="preserve">At least three sources with misalignment magnitude and mesh deflection</w:t>
            </w:r>
          </w:p>
        </w:tc>
        <w:tc>
          <w:tcPr>
            <w:tcW w:w="2860" w:type="dxa"/>
            <w:tcBorders>
              <w:top w:val="nil"/>
              <w:left w:val="nil"/>
              <w:bottom w:val="single" w:sz="6" w:space="0" w:color="000000"/>
              <w:right w:val="nil"/>
            </w:tcBorders>
            <w:tcMar>
              <w:top w:w="30" w:type="dxa"/>
              <w:left w:w="60" w:type="dxa"/>
              <w:bottom w:w="30" w:type="dxa"/>
              <w:right w:w="60" w:type="dxa"/>
            </w:tcMar>
          </w:tcPr>
          <w:p>
            <w:pPr>
              <w:spacing w:before="0" w:after="0" w:line="240" w:lineRule="auto"/>
              <w:jc w:val="left"/>
            </w:pPr>
            <w:r>
              <w:rPr>
                <w:sz w:val="16"/>
                <w:szCs w:val="16"/>
              </w:rPr>
              <w:t xml:space="preserve">Not testable: one source, misalignment not quantified</w:t>
            </w:r>
          </w:p>
        </w:tc>
      </w:tr>
    </w:tbl>
    <w:p>
      <w:pPr>
        <w:spacing w:before="0" w:after="60" w:line="240" w:lineRule="auto"/>
        <w:jc w:val="both"/>
      </w:pPr>
    </w:p>
    <w:p>
      <w:pPr>
        <w:pStyle w:val="Balk1"/>
        <w:keepNext/>
        <w:spacing w:before="240" w:after="120"/>
      </w:pPr>
      <w:r>
        <w:t xml:space="preserve">4 Results</w:t>
      </w:r>
    </w:p>
    <w:p>
      <w:pPr>
        <w:pStyle w:val="Balk2"/>
        <w:keepNext/>
        <w:spacing w:before="180" w:after="80"/>
      </w:pPr>
      <w:r>
        <w:t xml:space="preserve">4.1 Face-Width Redistribution in a Helical Pair</w:t>
      </w:r>
    </w:p>
    <w:p>
      <w:pPr>
        <w:spacing w:before="0" w:after="120" w:line="264" w:lineRule="auto"/>
        <w:jc w:val="both"/>
      </w:pPr>
      <w:r>
        <w:t xml:space="preserve">Figure 1 shows the normalised peak root strains of the helical pair [4] with the slice model of Eq. (2). For the uncrowned pair, the distributions are nearly linear and change sign with </w:t>
      </w:r>
      <w:r>
        <w:rPr>
          <w:i/>
          <w:iCs/>
        </w:rPr>
        <w:t xml:space="preserve">h</w:t>
      </w:r>
      <w:r>
        <w:t xml:space="preserve">. With </w:t>
      </w:r>
      <w:r>
        <w:rPr>
          <w:i/>
          <w:iCs/>
        </w:rPr>
        <w:t xml:space="preserve">δ</w:t>
      </w:r>
      <w:r>
        <w:rPr>
          <w:vertAlign w:val="subscript"/>
        </w:rPr>
        <w:t xml:space="preserve">m</w:t>
      </w:r>
      <w:r>
        <w:t xml:space="preserve"> = 17 µm, the average mesh deflection along the plane of action calculated in [4] for this pair at 200 N·m from an average mesh stiffness of 169 N/µm, the regression </w:t>
      </w:r>
      <w:r>
        <w:rPr>
          <w:i/>
          <w:iCs/>
        </w:rPr>
        <w:t xml:space="preserve">S</w:t>
      </w:r>
      <w:r>
        <w:t xml:space="preserve"> = </w:t>
      </w:r>
      <w:r>
        <w:rPr>
          <w:i/>
          <w:iCs/>
        </w:rPr>
        <w:t xml:space="preserve">κΠ</w:t>
      </w:r>
      <w:r>
        <w:t xml:space="preserve"> + </w:t>
      </w:r>
      <w:r>
        <w:rPr>
          <w:i/>
          <w:iCs/>
        </w:rPr>
        <w:t xml:space="preserve">S</w:t>
      </w:r>
      <w:r>
        <w:rPr>
          <w:vertAlign w:val="subscript"/>
        </w:rPr>
        <w:t xml:space="preserve">0</w:t>
      </w:r>
      <w:r>
        <w:t xml:space="preserve"> on the nominal ratio (</w:t>
      </w:r>
      <w:r>
        <w:rPr>
          <w:i/>
          <w:iCs/>
        </w:rPr>
        <w:t xml:space="preserve">h</w:t>
      </w:r>
      <w:r>
        <w:rPr>
          <w:vertAlign w:val="subscript"/>
        </w:rPr>
        <w:t xml:space="preserve">0</w:t>
      </w:r>
      <w:r>
        <w:t xml:space="preserve"> = 0; Fig. 2a) gave </w:t>
      </w:r>
      <w:r>
        <w:rPr>
          <w:i/>
          <w:iCs/>
        </w:rPr>
        <w:t xml:space="preserve">κ</w:t>
      </w:r>
      <w:r>
        <w:t xml:space="preserve"> = 0.90 (95% CI 0.80–1.05), </w:t>
      </w:r>
      <w:r>
        <w:rPr>
          <w:i/>
          <w:iCs/>
        </w:rPr>
        <w:t xml:space="preserve">S</w:t>
      </w:r>
      <w:r>
        <w:rPr>
          <w:vertAlign w:val="subscript"/>
        </w:rPr>
        <w:t xml:space="preserve">0</w:t>
      </w:r>
      <w:r>
        <w:t xml:space="preserve"> = −0.44 and </w:t>
      </w:r>
      <w:r>
        <w:rPr>
          <w:i/>
          <w:iCs/>
        </w:rPr>
        <w:t xml:space="preserve">R</w:t>
      </w:r>
      <w:r>
        <w:rPr>
          <w:vertAlign w:val="superscript"/>
        </w:rPr>
        <w:t xml:space="preserve">2</w:t>
      </w:r>
      <w:r>
        <w:t xml:space="preserve"> = 0.975. The interval includes the slice-theory value </w:t>
      </w:r>
      <w:r>
        <w:rPr>
          <w:i/>
          <w:iCs/>
        </w:rPr>
        <w:t xml:space="preserve">κ</w:t>
      </w:r>
      <w:r>
        <w:t xml:space="preserve"> = 1, so H1 is supported.</w:t>
      </w:r>
    </w:p>
    <w:p>
      <w:pPr>
        <w:keepNext/>
        <w:spacing w:before="120" w:after="60" w:line="240" w:lineRule="auto"/>
        <w:jc w:val="center"/>
      </w:pPr>
      <w:r>
        <w:rPr>
          <w:noProof/>
        </w:rPr>
        <w:drawing>
          <wp:inline distT="0" distB="0" distL="0" distR="0">
            <wp:extent cx="5715000" cy="2684318"/>
            <wp:effectExtent l="0" t="0" r="0" b="0"/>
            <wp:docPr id="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7"/>
                    <a:srcRect/>
                    <a:stretch>
                      <a:fillRect/>
                    </a:stretch>
                  </pic:blipFill>
                  <pic:spPr bwMode="auto">
                    <a:xfrm>
                      <a:off x="0" y="0"/>
                      <a:ext cx="5715000" cy="2684318"/>
                    </a:xfrm>
                    <a:prstGeom prst="rect">
                      <a:avLst/>
                    </a:prstGeom>
                  </pic:spPr>
                </pic:pic>
              </a:graphicData>
            </a:graphic>
          </wp:inline>
        </w:drawing>
      </w:r>
    </w:p>
    <w:p>
      <w:pPr>
        <w:spacing w:before="0" w:after="200" w:line="240" w:lineRule="auto"/>
        <w:jc w:val="both"/>
      </w:pPr>
      <w:r>
        <w:rPr>
          <w:b/>
          <w:bCs/>
          <w:sz w:val="20"/>
          <w:szCs w:val="20"/>
        </w:rPr>
        <w:t xml:space="preserve">Fig. 1</w:t>
      </w:r>
      <w:r>
        <w:rPr>
          <w:sz w:val="20"/>
          <w:szCs w:val="20"/>
        </w:rPr>
        <w:t xml:space="preserve"> </w:t>
      </w:r>
      <w:r>
        <w:rPr>
          <w:sz w:val="20"/>
          <w:szCs w:val="20"/>
        </w:rPr>
        <w:t xml:space="preserve">Normalised peak root strain along the face width of the helical pair of [4] at </w:t>
      </w:r>
      <w:r>
        <w:rPr>
          <w:i/>
          <w:iCs/>
          <w:sz w:val="20"/>
          <w:szCs w:val="20"/>
        </w:rPr>
        <w:t xml:space="preserve">T</w:t>
      </w:r>
      <w:r>
        <w:rPr>
          <w:sz w:val="20"/>
          <w:szCs w:val="20"/>
        </w:rPr>
        <w:t xml:space="preserve"> = 200 N·m. Symbols: experimental data (digitised; open symbols for </w:t>
      </w:r>
      <w:r>
        <w:rPr>
          <w:i/>
          <w:iCs/>
          <w:sz w:val="20"/>
          <w:szCs w:val="20"/>
        </w:rPr>
        <w:t xml:space="preserve">h</w:t>
      </w:r>
      <w:r>
        <w:rPr>
          <w:sz w:val="20"/>
          <w:szCs w:val="20"/>
        </w:rPr>
        <w:t xml:space="preserve"> &lt; 0). Lines: slice model, Eq. (2), with </w:t>
      </w:r>
      <w:r>
        <w:rPr>
          <w:i/>
          <w:iCs/>
          <w:sz w:val="20"/>
          <w:szCs w:val="20"/>
        </w:rPr>
        <w:t xml:space="preserve">κ</w:t>
      </w:r>
      <w:r>
        <w:rPr>
          <w:sz w:val="20"/>
          <w:szCs w:val="20"/>
        </w:rPr>
        <w:t xml:space="preserve"> = 0.88 and </w:t>
      </w:r>
      <w:r>
        <w:rPr>
          <w:i/>
          <w:iCs/>
          <w:sz w:val="20"/>
          <w:szCs w:val="20"/>
        </w:rPr>
        <w:t xml:space="preserve">h</w:t>
      </w:r>
      <w:r>
        <w:rPr>
          <w:sz w:val="20"/>
          <w:szCs w:val="20"/>
          <w:vertAlign w:val="subscript"/>
        </w:rPr>
        <w:t xml:space="preserve">0</w:t>
      </w:r>
      <w:r>
        <w:rPr>
          <w:sz w:val="20"/>
          <w:szCs w:val="20"/>
        </w:rPr>
        <w:t xml:space="preserve"> = −0.4 × </w:t>
      </w:r>
      <w:r>
        <w:rPr>
          <w:sz w:val="20"/>
          <w:szCs w:val="20"/>
        </w:rPr>
        <w:t xml:space="preserve">10</w:t>
      </w:r>
      <w:r>
        <w:rPr>
          <w:sz w:val="20"/>
          <w:szCs w:val="20"/>
          <w:vertAlign w:val="superscript"/>
        </w:rPr>
        <w:t xml:space="preserve">−3</w:t>
      </w:r>
      <w:r>
        <w:rPr>
          <w:sz w:val="20"/>
          <w:szCs w:val="20"/>
        </w:rPr>
        <w:t xml:space="preserve"> m/m calibrated on (a) and applied unchanged to (b). (a) Uncrowned pair, calibration set. (b) Pair with 25 µm lead crown, internal validation set</w:t>
      </w:r>
    </w:p>
    <w:p>
      <w:pPr>
        <w:spacing w:before="0" w:after="120" w:line="264" w:lineRule="auto"/>
        <w:jc w:val="both"/>
      </w:pPr>
      <w:r>
        <w:t xml:space="preserve">The intercept reflects a sign asymmetry: at |</w:t>
      </w:r>
      <w:r>
        <w:rPr>
          <w:i/>
          <w:iCs/>
        </w:rPr>
        <w:t xml:space="preserve">h</w:t>
      </w:r>
      <w:r>
        <w:t xml:space="preserve">| = 2 × </w:t>
      </w:r>
      <w:r>
        <w:t xml:space="preserve">10</w:t>
      </w:r>
      <w:r>
        <w:rPr>
          <w:vertAlign w:val="superscript"/>
        </w:rPr>
        <w:t xml:space="preserve">−3</w:t>
      </w:r>
      <w:r>
        <w:t xml:space="preserve"> m/m, </w:t>
      </w:r>
      <w:r>
        <w:rPr>
          <w:i/>
          <w:iCs/>
        </w:rPr>
        <w:t xml:space="preserve">S</w:t>
      </w:r>
      <w:r>
        <w:t xml:space="preserve"> was −2.82 for </w:t>
      </w:r>
      <w:r>
        <w:rPr>
          <w:i/>
          <w:iCs/>
        </w:rPr>
        <w:t xml:space="preserve">h</w:t>
      </w:r>
      <w:r>
        <w:t xml:space="preserve"> &lt; 0 but 1.40 for </w:t>
      </w:r>
      <w:r>
        <w:rPr>
          <w:i/>
          <w:iCs/>
        </w:rPr>
        <w:t xml:space="preserve">h</w:t>
      </w:r>
      <w:r>
        <w:t xml:space="preserve"> &gt; 0 (Fig. 2a), and the distributions cross about 8 mm rather than 10 mm from the reference edge, which [4] attributed to unavoidable shaft misalignment within the test-machine tolerances. In the slice model, this corresponds to an effective residual misalignment </w:t>
      </w:r>
      <w:r>
        <w:rPr>
          <w:i/>
          <w:iCs/>
        </w:rPr>
        <w:t xml:space="preserve">h</w:t>
      </w:r>
      <w:r>
        <w:rPr>
          <w:vertAlign w:val="subscript"/>
        </w:rPr>
        <w:t xml:space="preserve">0</w:t>
      </w:r>
      <w:r>
        <w:t xml:space="preserve"> = −0.4 × </w:t>
      </w:r>
      <w:r>
        <w:t xml:space="preserve">10</w:t>
      </w:r>
      <w:r>
        <w:rPr>
          <w:vertAlign w:val="superscript"/>
        </w:rPr>
        <w:t xml:space="preserve">−3</w:t>
      </w:r>
      <w:r>
        <w:t xml:space="preserve"> m/m (about 8 µm across the face width). Fitting </w:t>
      </w:r>
      <w:r>
        <w:rPr>
          <w:i/>
          <w:iCs/>
        </w:rPr>
        <w:t xml:space="preserve">κ</w:t>
      </w:r>
      <w:r>
        <w:t xml:space="preserve">, </w:t>
      </w:r>
      <w:r>
        <w:rPr>
          <w:i/>
          <w:iCs/>
        </w:rPr>
        <w:t xml:space="preserve">h</w:t>
      </w:r>
      <w:r>
        <w:rPr>
          <w:vertAlign w:val="subscript"/>
        </w:rPr>
        <w:t xml:space="preserve">0</w:t>
      </w:r>
      <w:r>
        <w:t xml:space="preserve"> and a gauge-spreading width to the uncrowned data gave </w:t>
      </w:r>
      <w:r>
        <w:rPr>
          <w:i/>
          <w:iCs/>
        </w:rPr>
        <w:t xml:space="preserve">κ</w:t>
      </w:r>
      <w:r>
        <w:t xml:space="preserve"> = 0.88, </w:t>
      </w:r>
      <w:r>
        <w:rPr>
          <w:i/>
          <w:iCs/>
        </w:rPr>
        <w:t xml:space="preserve">h</w:t>
      </w:r>
      <w:r>
        <w:rPr>
          <w:vertAlign w:val="subscript"/>
        </w:rPr>
        <w:t xml:space="preserve">0</w:t>
      </w:r>
      <w:r>
        <w:t xml:space="preserve"> = −0.4 × </w:t>
      </w:r>
      <w:r>
        <w:t xml:space="preserve">10</w:t>
      </w:r>
      <w:r>
        <w:rPr>
          <w:vertAlign w:val="superscript"/>
        </w:rPr>
        <w:t xml:space="preserve">−3</w:t>
      </w:r>
      <w:r>
        <w:t xml:space="preserve"> m/m and zero spreading, with an RMSE of 0.073 against 0.144 for the nominal model (</w:t>
      </w:r>
      <w:r>
        <w:rPr>
          <w:i/>
          <w:iCs/>
        </w:rPr>
        <w:t xml:space="preserve">κ</w:t>
      </w:r>
      <w:r>
        <w:t xml:space="preserve"> = 1, </w:t>
      </w:r>
      <w:r>
        <w:rPr>
          <w:i/>
          <w:iCs/>
        </w:rPr>
        <w:t xml:space="preserve">h</w:t>
      </w:r>
      <w:r>
        <w:rPr>
          <w:vertAlign w:val="subscript"/>
        </w:rPr>
        <w:t xml:space="preserve">0</w:t>
      </w:r>
      <w:r>
        <w:t xml:space="preserve"> = 0); the AIC fell from −96.9 to −125.1 despite three added parameters. Because the distribution measured at </w:t>
      </w:r>
      <w:r>
        <w:rPr>
          <w:i/>
          <w:iCs/>
        </w:rPr>
        <w:t xml:space="preserve">h</w:t>
      </w:r>
      <w:r>
        <w:t xml:space="preserve"> = 0 is nearly uniform (</w:t>
      </w:r>
      <w:r>
        <w:rPr>
          <w:i/>
          <w:iCs/>
        </w:rPr>
        <w:t xml:space="preserve">S</w:t>
      </w:r>
      <w:r>
        <w:t xml:space="preserve"> = −0.09), </w:t>
      </w:r>
      <w:r>
        <w:rPr>
          <w:i/>
          <w:iCs/>
        </w:rPr>
        <w:t xml:space="preserve">h</w:t>
      </w:r>
      <w:r>
        <w:rPr>
          <w:vertAlign w:val="subscript"/>
        </w:rPr>
        <w:t xml:space="preserve">0</w:t>
      </w:r>
      <w:r>
        <w:t xml:space="preserve"> is an effective parameter for the sign asymmetry rather than a measured rig error. For </w:t>
      </w:r>
      <w:r>
        <w:rPr>
          <w:i/>
          <w:iCs/>
        </w:rPr>
        <w:t xml:space="preserve">h</w:t>
      </w:r>
      <w:r>
        <w:t xml:space="preserve"> = −2 × </w:t>
      </w:r>
      <w:r>
        <w:t xml:space="preserve">10</w:t>
      </w:r>
      <w:r>
        <w:rPr>
          <w:vertAlign w:val="superscript"/>
        </w:rPr>
        <w:t xml:space="preserve">−3</w:t>
      </w:r>
      <w:r>
        <w:t xml:space="preserve"> m/m, </w:t>
      </w:r>
      <w:r>
        <w:rPr>
          <w:i/>
          <w:iCs/>
        </w:rPr>
        <w:t xml:space="preserve">κ</w:t>
      </w:r>
      <w:r>
        <w:t xml:space="preserve">|</w:t>
      </w:r>
      <w:r>
        <w:rPr>
          <w:i/>
          <w:iCs/>
        </w:rPr>
        <w:t xml:space="preserve">Π</w:t>
      </w:r>
      <w:r>
        <w:t xml:space="preserve">| ≈ 2.5, just beyond the contact-loss boundary, but the predicted loss of contact lies beyond the outermost gauge (Fig. 1a), so the five-gauge slope remains usable.</w:t>
      </w:r>
    </w:p>
    <w:p>
      <w:pPr>
        <w:keepNext/>
        <w:spacing w:before="120" w:after="60" w:line="240" w:lineRule="auto"/>
        <w:jc w:val="center"/>
      </w:pPr>
      <w:r>
        <w:rPr>
          <w:noProof/>
        </w:rPr>
        <w:drawing>
          <wp:inline distT="0" distB="0" distL="0" distR="0">
            <wp:extent cx="5715000" cy="2684318"/>
            <wp:effectExtent l="0" t="0" r="0" b="0"/>
            <wp:docPr id="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a:picLocks noChangeAspect="1" noChangeArrowheads="1"/>
                    </pic:cNvPicPr>
                  </pic:nvPicPr>
                  <pic:blipFill>
                    <a:blip r:embed="rId8"/>
                    <a:srcRect/>
                    <a:stretch>
                      <a:fillRect/>
                    </a:stretch>
                  </pic:blipFill>
                  <pic:spPr bwMode="auto">
                    <a:xfrm>
                      <a:off x="0" y="0"/>
                      <a:ext cx="5715000" cy="2684318"/>
                    </a:xfrm>
                    <a:prstGeom prst="rect">
                      <a:avLst/>
                    </a:prstGeom>
                  </pic:spPr>
                </pic:pic>
              </a:graphicData>
            </a:graphic>
          </wp:inline>
        </w:drawing>
      </w:r>
    </w:p>
    <w:p>
      <w:pPr>
        <w:spacing w:before="0" w:after="200" w:line="240" w:lineRule="auto"/>
        <w:jc w:val="both"/>
      </w:pPr>
      <w:r>
        <w:rPr>
          <w:b/>
          <w:bCs/>
          <w:sz w:val="20"/>
          <w:szCs w:val="20"/>
        </w:rPr>
        <w:t xml:space="preserve">Fig. 2</w:t>
      </w:r>
      <w:r>
        <w:rPr>
          <w:sz w:val="20"/>
          <w:szCs w:val="20"/>
        </w:rPr>
        <w:t xml:space="preserve"> </w:t>
      </w:r>
      <w:r>
        <w:rPr>
          <w:sz w:val="20"/>
          <w:szCs w:val="20"/>
        </w:rPr>
        <w:t xml:space="preserve">(a) Normalised redistribution slope of the helical pair [4] against the nominal compliance ratio </w:t>
      </w:r>
      <w:r>
        <w:rPr>
          <w:i/>
          <w:iCs/>
          <w:sz w:val="20"/>
          <w:szCs w:val="20"/>
        </w:rPr>
        <w:t xml:space="preserve">Π</w:t>
      </w:r>
      <w:r>
        <w:rPr>
          <w:sz w:val="20"/>
          <w:szCs w:val="20"/>
        </w:rPr>
        <w:t xml:space="preserve"> of Eq. (3) (</w:t>
      </w:r>
      <w:r>
        <w:rPr>
          <w:i/>
          <w:iCs/>
          <w:sz w:val="20"/>
          <w:szCs w:val="20"/>
        </w:rPr>
        <w:t xml:space="preserve">h</w:t>
      </w:r>
      <w:r>
        <w:rPr>
          <w:sz w:val="20"/>
          <w:szCs w:val="20"/>
          <w:vertAlign w:val="subscript"/>
        </w:rPr>
        <w:t xml:space="preserve">0</w:t>
      </w:r>
      <w:r>
        <w:rPr>
          <w:sz w:val="20"/>
          <w:szCs w:val="20"/>
        </w:rPr>
        <w:t xml:space="preserve"> = 0); the dashed line is the full-contact slice-theory result </w:t>
      </w:r>
      <w:r>
        <w:rPr>
          <w:i/>
          <w:iCs/>
          <w:sz w:val="20"/>
          <w:szCs w:val="20"/>
        </w:rPr>
        <w:t xml:space="preserve">S</w:t>
      </w:r>
      <w:r>
        <w:rPr>
          <w:sz w:val="20"/>
          <w:szCs w:val="20"/>
        </w:rPr>
        <w:t xml:space="preserve"> = </w:t>
      </w:r>
      <w:r>
        <w:rPr>
          <w:i/>
          <w:iCs/>
          <w:sz w:val="20"/>
          <w:szCs w:val="20"/>
        </w:rPr>
        <w:t xml:space="preserve">Π</w:t>
      </w:r>
      <w:r>
        <w:rPr>
          <w:sz w:val="20"/>
          <w:szCs w:val="20"/>
        </w:rPr>
        <w:t xml:space="preserve">. (b) Normalised toe–heel slope of the peak-to-peak root stress of the hypoid pair [5] against the pinion offset error </w:t>
      </w:r>
      <w:r>
        <w:rPr>
          <w:i/>
          <w:iCs/>
          <w:sz w:val="20"/>
          <w:szCs w:val="20"/>
        </w:rPr>
        <w:t xml:space="preserve">V</w:t>
      </w:r>
      <w:r>
        <w:rPr>
          <w:sz w:val="20"/>
          <w:szCs w:val="20"/>
        </w:rPr>
        <w:t xml:space="preserve"> at 300 N·m</w:t>
      </w:r>
    </w:p>
    <w:p>
      <w:pPr>
        <w:spacing w:before="0" w:after="120" w:line="264" w:lineRule="auto"/>
        <w:jc w:val="both"/>
      </w:pPr>
      <w:r>
        <w:t xml:space="preserve">For the crowned pair (Fig. 1b), the same parameters with </w:t>
      </w:r>
      <w:r>
        <w:rPr>
          <w:i/>
          <w:iCs/>
        </w:rPr>
        <w:t xml:space="preserve">C</w:t>
      </w:r>
      <w:r>
        <w:rPr>
          <w:i/>
          <w:iCs/>
          <w:vertAlign w:val="subscript"/>
        </w:rPr>
        <w:t xml:space="preserve">β</w:t>
      </w:r>
      <w:r>
        <w:t xml:space="preserve"> = 25 µm predicted the change to a convex distribution and the shift of the peak from gauge C2 to gauge C4 (numbered from the reference edge) as </w:t>
      </w:r>
      <w:r>
        <w:rPr>
          <w:i/>
          <w:iCs/>
        </w:rPr>
        <w:t xml:space="preserve">h</w:t>
      </w:r>
      <w:r>
        <w:t xml:space="preserve"> changed sign. The RMSE was 0.148 against 0.189 for the nominal model, so H2 is partly supported. The residuals are systematic: at |</w:t>
      </w:r>
      <w:r>
        <w:rPr>
          <w:i/>
          <w:iCs/>
        </w:rPr>
        <w:t xml:space="preserve">h</w:t>
      </w:r>
      <w:r>
        <w:t xml:space="preserve">| = 2 × </w:t>
      </w:r>
      <w:r>
        <w:t xml:space="preserve">10</w:t>
      </w:r>
      <w:r>
        <w:rPr>
          <w:vertAlign w:val="superscript"/>
        </w:rPr>
        <w:t xml:space="preserve">−3</w:t>
      </w:r>
      <w:r>
        <w:t xml:space="preserve"> m/m, the model unloads the face ends, whereas the outermost gauges still carried 29–37% of the mean strain. A crown of 12.5 µm instead of 25 µm per end raised the RMSE to 0.223, so the crown definition is not the cause; a plausible cause is load spreading in the root fillet between neighbouring slices, which the slice model neglects.</w:t>
      </w:r>
    </w:p>
    <w:p>
      <w:pPr>
        <w:spacing w:before="0" w:after="120" w:line="264" w:lineRule="auto"/>
        <w:jc w:val="both"/>
      </w:pPr>
      <w:r>
        <w:t xml:space="preserve">Table 4 compares the Method C factors of Eq. (4) with the ratio of maximum to mean gauge strain. With nominal misalignment, Method C gives the same factor for +</w:t>
      </w:r>
      <w:r>
        <w:rPr>
          <w:i/>
          <w:iCs/>
        </w:rPr>
        <w:t xml:space="preserve">h</w:t>
      </w:r>
      <w:r>
        <w:t xml:space="preserve"> and −</w:t>
      </w:r>
      <w:r>
        <w:rPr>
          <w:i/>
          <w:iCs/>
        </w:rPr>
        <w:t xml:space="preserve">h</w:t>
      </w:r>
      <w:r>
        <w:t xml:space="preserve">, whereas the measured ratios differ by up to 38% between signs. With </w:t>
      </w:r>
      <w:r>
        <w:rPr>
          <w:i/>
          <w:iCs/>
        </w:rPr>
        <w:t xml:space="preserve">h</w:t>
      </w:r>
      <w:r>
        <w:rPr>
          <w:vertAlign w:val="subscript"/>
        </w:rPr>
        <w:t xml:space="preserve">0</w:t>
      </w:r>
      <w:r>
        <w:t xml:space="preserve">, the predicted </w:t>
      </w:r>
      <w:r>
        <w:rPr>
          <w:i/>
          <w:iCs/>
        </w:rPr>
        <w:t xml:space="preserve">K</w:t>
      </w:r>
      <w:r>
        <w:rPr>
          <w:i/>
          <w:iCs/>
          <w:vertAlign w:val="subscript"/>
        </w:rPr>
        <w:t xml:space="preserve">Fβ</w:t>
      </w:r>
      <w:r>
        <w:t xml:space="preserve"> equals the measured ratio in the most severe case (1.96) and exceeds it by 0.08–0.26 otherwise. Because the outermost gauges lie 2.7 and 3.5 mm inside the face ends [4], the measured ratio is a lower bound for the true factor, so Method C is conservative by a small margin once the residual misalignment is known.</w:t>
      </w:r>
    </w:p>
    <w:p>
      <w:pPr>
        <w:keepNext/>
        <w:spacing w:before="200" w:after="80" w:line="240" w:lineRule="auto"/>
        <w:jc w:val="both"/>
      </w:pPr>
      <w:r>
        <w:rPr>
          <w:b/>
          <w:bCs/>
          <w:sz w:val="20"/>
          <w:szCs w:val="20"/>
        </w:rPr>
        <w:t xml:space="preserve">Table 4</w:t>
      </w:r>
      <w:r>
        <w:rPr>
          <w:sz w:val="20"/>
          <w:szCs w:val="20"/>
        </w:rPr>
        <w:t xml:space="preserve"> </w:t>
      </w:r>
      <w:r>
        <w:rPr>
          <w:sz w:val="20"/>
          <w:szCs w:val="20"/>
        </w:rPr>
        <w:t xml:space="preserve">ISO 6336-1 Method C face load factors and measured gauge-strain ratios for the uncrowned helical pair at 200 N·m (</w:t>
      </w:r>
      <w:r>
        <w:rPr>
          <w:i/>
          <w:iCs/>
          <w:sz w:val="20"/>
          <w:szCs w:val="20"/>
        </w:rPr>
        <w:t xml:space="preserve">N</w:t>
      </w:r>
      <w:r>
        <w:rPr>
          <w:i/>
          <w:iCs/>
          <w:sz w:val="20"/>
          <w:szCs w:val="20"/>
          <w:vertAlign w:val="subscript"/>
        </w:rPr>
        <w:t xml:space="preserve">F</w:t>
      </w:r>
      <w:r>
        <w:rPr>
          <w:sz w:val="20"/>
          <w:szCs w:val="20"/>
        </w:rPr>
        <w:t xml:space="preserve"> = 0.78; </w:t>
      </w:r>
      <w:r>
        <w:rPr>
          <w:i/>
          <w:iCs/>
          <w:sz w:val="20"/>
          <w:szCs w:val="20"/>
        </w:rPr>
        <w:t xml:space="preserve">δ</w:t>
      </w:r>
      <w:r>
        <w:rPr>
          <w:sz w:val="20"/>
          <w:szCs w:val="20"/>
          <w:vertAlign w:val="subscript"/>
        </w:rPr>
        <w:t xml:space="preserve">m</w:t>
      </w:r>
      <w:r>
        <w:rPr>
          <w:sz w:val="20"/>
          <w:szCs w:val="20"/>
        </w:rPr>
        <w:t xml:space="preserve"> = 17 µm)</w:t>
      </w:r>
    </w:p>
    <w:tbl>
      <w:tblPr>
        <w:tblW w:w="9070" w:type="dxa"/>
        <w:tblLayout w:type="fixed"/>
        <w:tblCellMar>
          <w:left w:w="60" w:type="dxa"/>
          <w:right w:w="60" w:type="dxa"/>
        </w:tblCellMar>
        <w:tblLook w:val="04A0" w:firstRow="1" w:lastRow="0" w:firstColumn="1" w:lastColumn="0" w:noHBand="0" w:noVBand="1"/>
      </w:tblPr>
      <w:tblGrid>
        <w:gridCol w:w="1300"/>
        <w:gridCol w:w="1350"/>
        <w:gridCol w:w="1500"/>
        <w:gridCol w:w="1400"/>
        <w:gridCol w:w="1650"/>
        <w:gridCol w:w="1870"/>
      </w:tblGrid>
      <w:tr>
        <w:trPr>
          <w:cantSplit/>
          <w:tblHeader/>
        </w:trPr>
        <w:tc>
          <w:tcPr>
            <w:tcW w:w="1300" w:type="dxa"/>
            <w:tcBorders>
              <w:top w:val="single" w:sz="6" w:space="0" w:color="000000"/>
              <w:left w:val="nil"/>
              <w:bottom w:val="single" w:sz="6" w:space="0" w:color="000000"/>
              <w:right w:val="nil"/>
            </w:tcBorders>
            <w:tcMar>
              <w:top w:w="30" w:type="dxa"/>
              <w:left w:w="60" w:type="dxa"/>
              <w:bottom w:w="30" w:type="dxa"/>
              <w:right w:w="60" w:type="dxa"/>
            </w:tcMar>
          </w:tcPr>
          <w:p>
            <w:pPr>
              <w:spacing w:before="0" w:after="0" w:line="240" w:lineRule="auto"/>
              <w:jc w:val="left"/>
            </w:pPr>
            <w:r>
              <w:rPr>
                <w:b/>
                <w:bCs/>
                <w:i/>
                <w:iCs/>
                <w:sz w:val="16"/>
                <w:szCs w:val="16"/>
              </w:rPr>
              <w:t xml:space="preserve">h</w:t>
            </w:r>
            <w:r>
              <w:rPr>
                <w:b/>
                <w:bCs/>
                <w:sz w:val="16"/>
                <w:szCs w:val="16"/>
              </w:rPr>
              <w:t xml:space="preserve"> (</w:t>
            </w:r>
            <w:r>
              <w:rPr>
                <w:b/>
                <w:bCs/>
                <w:sz w:val="16"/>
                <w:szCs w:val="16"/>
              </w:rPr>
              <w:t xml:space="preserve">10</w:t>
            </w:r>
            <w:r>
              <w:rPr>
                <w:b/>
                <w:bCs/>
                <w:sz w:val="16"/>
                <w:szCs w:val="16"/>
                <w:vertAlign w:val="superscript"/>
              </w:rPr>
              <w:t xml:space="preserve">−3</w:t>
            </w:r>
            <w:r>
              <w:rPr>
                <w:b/>
                <w:bCs/>
                <w:sz w:val="16"/>
                <w:szCs w:val="16"/>
              </w:rPr>
              <w:t xml:space="preserve"> m/m)</w:t>
            </w:r>
          </w:p>
        </w:tc>
        <w:tc>
          <w:tcPr>
            <w:tcW w:w="1350" w:type="dxa"/>
            <w:tcBorders>
              <w:top w:val="single" w:sz="6" w:space="0" w:color="000000"/>
              <w:left w:val="nil"/>
              <w:bottom w:val="single" w:sz="6" w:space="0" w:color="000000"/>
              <w:right w:val="nil"/>
            </w:tcBorders>
            <w:tcMar>
              <w:top w:w="30" w:type="dxa"/>
              <w:left w:w="60" w:type="dxa"/>
              <w:bottom w:w="30" w:type="dxa"/>
              <w:right w:w="60" w:type="dxa"/>
            </w:tcMar>
          </w:tcPr>
          <w:p>
            <w:pPr>
              <w:spacing w:before="0" w:after="0" w:line="240" w:lineRule="auto"/>
              <w:jc w:val="center"/>
            </w:pPr>
            <w:r>
              <w:rPr>
                <w:b/>
                <w:bCs/>
                <w:sz w:val="16"/>
                <w:szCs w:val="16"/>
              </w:rPr>
              <w:t xml:space="preserve">|</w:t>
            </w:r>
            <w:r>
              <w:rPr>
                <w:b/>
                <w:bCs/>
                <w:i/>
                <w:iCs/>
                <w:sz w:val="16"/>
                <w:szCs w:val="16"/>
              </w:rPr>
              <w:t xml:space="preserve">Π</w:t>
            </w:r>
            <w:r>
              <w:rPr>
                <w:b/>
                <w:bCs/>
                <w:sz w:val="16"/>
                <w:szCs w:val="16"/>
              </w:rPr>
              <w:t xml:space="preserve">|, nominal</w:t>
            </w:r>
          </w:p>
        </w:tc>
        <w:tc>
          <w:tcPr>
            <w:tcW w:w="1500" w:type="dxa"/>
            <w:tcBorders>
              <w:top w:val="single" w:sz="6" w:space="0" w:color="000000"/>
              <w:left w:val="nil"/>
              <w:bottom w:val="single" w:sz="6" w:space="0" w:color="000000"/>
              <w:right w:val="nil"/>
            </w:tcBorders>
            <w:tcMar>
              <w:top w:w="30" w:type="dxa"/>
              <w:left w:w="60" w:type="dxa"/>
              <w:bottom w:w="30" w:type="dxa"/>
              <w:right w:w="60" w:type="dxa"/>
            </w:tcMar>
          </w:tcPr>
          <w:p>
            <w:pPr>
              <w:spacing w:before="0" w:after="0" w:line="240" w:lineRule="auto"/>
              <w:jc w:val="center"/>
            </w:pPr>
            <w:r>
              <w:rPr>
                <w:b/>
                <w:bCs/>
                <w:i/>
                <w:iCs/>
                <w:sz w:val="16"/>
                <w:szCs w:val="16"/>
              </w:rPr>
              <w:t xml:space="preserve">K</w:t>
            </w:r>
            <w:r>
              <w:rPr>
                <w:b/>
                <w:bCs/>
                <w:i/>
                <w:iCs/>
                <w:sz w:val="16"/>
                <w:szCs w:val="16"/>
                <w:vertAlign w:val="subscript"/>
              </w:rPr>
              <w:t xml:space="preserve">Fβ</w:t>
            </w:r>
            <w:r>
              <w:rPr>
                <w:b/>
                <w:bCs/>
                <w:sz w:val="16"/>
                <w:szCs w:val="16"/>
              </w:rPr>
              <w:t xml:space="preserve">, nominal</w:t>
            </w:r>
          </w:p>
        </w:tc>
        <w:tc>
          <w:tcPr>
            <w:tcW w:w="1400" w:type="dxa"/>
            <w:tcBorders>
              <w:top w:val="single" w:sz="6" w:space="0" w:color="000000"/>
              <w:left w:val="nil"/>
              <w:bottom w:val="single" w:sz="6" w:space="0" w:color="000000"/>
              <w:right w:val="nil"/>
            </w:tcBorders>
            <w:tcMar>
              <w:top w:w="30" w:type="dxa"/>
              <w:left w:w="60" w:type="dxa"/>
              <w:bottom w:w="30" w:type="dxa"/>
              <w:right w:w="60" w:type="dxa"/>
            </w:tcMar>
          </w:tcPr>
          <w:p>
            <w:pPr>
              <w:spacing w:before="0" w:after="0" w:line="240" w:lineRule="auto"/>
              <w:jc w:val="center"/>
            </w:pPr>
            <w:r>
              <w:rPr>
                <w:b/>
                <w:bCs/>
                <w:sz w:val="16"/>
                <w:szCs w:val="16"/>
              </w:rPr>
              <w:t xml:space="preserve">|</w:t>
            </w:r>
            <w:r>
              <w:rPr>
                <w:b/>
                <w:bCs/>
                <w:i/>
                <w:iCs/>
                <w:sz w:val="16"/>
                <w:szCs w:val="16"/>
              </w:rPr>
              <w:t xml:space="preserve">Π</w:t>
            </w:r>
            <w:r>
              <w:rPr>
                <w:b/>
                <w:bCs/>
                <w:sz w:val="16"/>
                <w:szCs w:val="16"/>
              </w:rPr>
              <w:t xml:space="preserve">|, with </w:t>
            </w:r>
            <w:r>
              <w:rPr>
                <w:b/>
                <w:bCs/>
                <w:i/>
                <w:iCs/>
                <w:sz w:val="16"/>
                <w:szCs w:val="16"/>
              </w:rPr>
              <w:t xml:space="preserve">h</w:t>
            </w:r>
            <w:r>
              <w:rPr>
                <w:b/>
                <w:bCs/>
                <w:sz w:val="16"/>
                <w:szCs w:val="16"/>
                <w:vertAlign w:val="subscript"/>
              </w:rPr>
              <w:t xml:space="preserve">0</w:t>
            </w:r>
          </w:p>
        </w:tc>
        <w:tc>
          <w:tcPr>
            <w:tcW w:w="1650" w:type="dxa"/>
            <w:tcBorders>
              <w:top w:val="single" w:sz="6" w:space="0" w:color="000000"/>
              <w:left w:val="nil"/>
              <w:bottom w:val="single" w:sz="6" w:space="0" w:color="000000"/>
              <w:right w:val="nil"/>
            </w:tcBorders>
            <w:tcMar>
              <w:top w:w="30" w:type="dxa"/>
              <w:left w:w="60" w:type="dxa"/>
              <w:bottom w:w="30" w:type="dxa"/>
              <w:right w:w="60" w:type="dxa"/>
            </w:tcMar>
          </w:tcPr>
          <w:p>
            <w:pPr>
              <w:spacing w:before="0" w:after="0" w:line="240" w:lineRule="auto"/>
              <w:jc w:val="center"/>
            </w:pPr>
            <w:r>
              <w:rPr>
                <w:b/>
                <w:bCs/>
                <w:i/>
                <w:iCs/>
                <w:sz w:val="16"/>
                <w:szCs w:val="16"/>
              </w:rPr>
              <w:t xml:space="preserve">K</w:t>
            </w:r>
            <w:r>
              <w:rPr>
                <w:b/>
                <w:bCs/>
                <w:i/>
                <w:iCs/>
                <w:sz w:val="16"/>
                <w:szCs w:val="16"/>
                <w:vertAlign w:val="subscript"/>
              </w:rPr>
              <w:t xml:space="preserve">Fβ</w:t>
            </w:r>
            <w:r>
              <w:rPr>
                <w:b/>
                <w:bCs/>
                <w:sz w:val="16"/>
                <w:szCs w:val="16"/>
              </w:rPr>
              <w:t xml:space="preserve">, with </w:t>
            </w:r>
            <w:r>
              <w:rPr>
                <w:b/>
                <w:bCs/>
                <w:i/>
                <w:iCs/>
                <w:sz w:val="16"/>
                <w:szCs w:val="16"/>
              </w:rPr>
              <w:t xml:space="preserve">h</w:t>
            </w:r>
            <w:r>
              <w:rPr>
                <w:b/>
                <w:bCs/>
                <w:sz w:val="16"/>
                <w:szCs w:val="16"/>
                <w:vertAlign w:val="subscript"/>
              </w:rPr>
              <w:t xml:space="preserve">0</w:t>
            </w:r>
          </w:p>
        </w:tc>
        <w:tc>
          <w:tcPr>
            <w:tcW w:w="1870" w:type="dxa"/>
            <w:tcBorders>
              <w:top w:val="single" w:sz="6" w:space="0" w:color="000000"/>
              <w:left w:val="nil"/>
              <w:bottom w:val="single" w:sz="6" w:space="0" w:color="000000"/>
              <w:right w:val="nil"/>
            </w:tcBorders>
            <w:tcMar>
              <w:top w:w="30" w:type="dxa"/>
              <w:left w:w="60" w:type="dxa"/>
              <w:bottom w:w="30" w:type="dxa"/>
              <w:right w:w="60" w:type="dxa"/>
            </w:tcMar>
          </w:tcPr>
          <w:p>
            <w:pPr>
              <w:spacing w:before="0" w:after="0" w:line="240" w:lineRule="auto"/>
              <w:jc w:val="center"/>
            </w:pPr>
            <w:r>
              <w:rPr>
                <w:b/>
                <w:bCs/>
                <w:sz w:val="16"/>
                <w:szCs w:val="16"/>
              </w:rPr>
              <w:t xml:space="preserve">Measured </w:t>
            </w:r>
            <w:r>
              <w:rPr>
                <w:b/>
                <w:bCs/>
                <w:i/>
                <w:iCs/>
                <w:sz w:val="16"/>
                <w:szCs w:val="16"/>
              </w:rPr>
              <w:t xml:space="preserve">ε</w:t>
            </w:r>
            <w:r>
              <w:rPr>
                <w:b/>
                <w:bCs/>
                <w:sz w:val="16"/>
                <w:szCs w:val="16"/>
                <w:vertAlign w:val="subscript"/>
              </w:rPr>
              <w:t xml:space="preserve">max</w:t>
            </w:r>
            <w:r>
              <w:rPr>
                <w:b/>
                <w:bCs/>
                <w:sz w:val="16"/>
                <w:szCs w:val="16"/>
              </w:rPr>
              <w:t xml:space="preserve">/</w:t>
            </w:r>
            <w:r>
              <w:rPr>
                <w:b/>
                <w:bCs/>
                <w:i/>
                <w:iCs/>
                <w:sz w:val="16"/>
                <w:szCs w:val="16"/>
              </w:rPr>
              <w:t xml:space="preserve">ε</w:t>
            </w:r>
            <w:r>
              <w:rPr>
                <w:b/>
                <w:bCs/>
                <w:sz w:val="16"/>
                <w:szCs w:val="16"/>
                <w:vertAlign w:val="subscript"/>
              </w:rPr>
              <w:t xml:space="preserve">m</w:t>
            </w:r>
          </w:p>
        </w:tc>
      </w:tr>
      <w:tr>
        <w:trPr>
          <w:cantSplit/>
        </w:trPr>
        <w:tc>
          <w:tcPr>
            <w:tcW w:w="13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−2</w:t>
            </w:r>
          </w:p>
        </w:tc>
        <w:tc>
          <w:tcPr>
            <w:tcW w:w="1350" w:type="dxa"/>
            <w:tcBorders>
              <w:top w:val="nil"/>
              <w:left w:val="nil"/>
              <w:bottom w:val="nil"/>
              <w:right w:val="nil"/>
            </w:tcBorders>
            <w:tcMar>
              <w:top w:w="30" w:type="dxa"/>
              <w:left w:w="60" w:type="dxa"/>
              <w:bottom w:w="30" w:type="dxa"/>
              <w:right w:w="60" w:type="dxa"/>
            </w:tcMar>
          </w:tcPr>
          <w:p>
            <w:pPr>
              <w:spacing w:before="0" w:after="0" w:line="240" w:lineRule="auto"/>
              <w:jc w:val="center"/>
            </w:pPr>
            <w:r>
              <w:rPr>
                <w:sz w:val="16"/>
                <w:szCs w:val="16"/>
              </w:rPr>
              <w:t xml:space="preserve">2.35</w:t>
            </w:r>
          </w:p>
        </w:tc>
        <w:tc>
          <w:tcPr>
            <w:tcW w:w="1500" w:type="dxa"/>
            <w:tcBorders>
              <w:top w:val="nil"/>
              <w:left w:val="nil"/>
              <w:bottom w:val="nil"/>
              <w:right w:val="nil"/>
            </w:tcBorders>
            <w:tcMar>
              <w:top w:w="30" w:type="dxa"/>
              <w:left w:w="60" w:type="dxa"/>
              <w:bottom w:w="30" w:type="dxa"/>
              <w:right w:w="60" w:type="dxa"/>
            </w:tcMar>
          </w:tcPr>
          <w:p>
            <w:pPr>
              <w:spacing w:before="0" w:after="0" w:line="240" w:lineRule="auto"/>
              <w:jc w:val="center"/>
            </w:pPr>
            <w:r>
              <w:rPr>
                <w:sz w:val="16"/>
                <w:szCs w:val="16"/>
              </w:rPr>
              <w:t xml:space="preserve">1.83</w:t>
            </w:r>
          </w:p>
        </w:tc>
        <w:tc>
          <w:tcPr>
            <w:tcW w:w="1400" w:type="dxa"/>
            <w:tcBorders>
              <w:top w:val="nil"/>
              <w:left w:val="nil"/>
              <w:bottom w:val="nil"/>
              <w:right w:val="nil"/>
            </w:tcBorders>
            <w:tcMar>
              <w:top w:w="30" w:type="dxa"/>
              <w:left w:w="60" w:type="dxa"/>
              <w:bottom w:w="30" w:type="dxa"/>
              <w:right w:w="60" w:type="dxa"/>
            </w:tcMar>
          </w:tcPr>
          <w:p>
            <w:pPr>
              <w:spacing w:before="0" w:after="0" w:line="240" w:lineRule="auto"/>
              <w:jc w:val="center"/>
            </w:pPr>
            <w:r>
              <w:rPr>
                <w:sz w:val="16"/>
                <w:szCs w:val="16"/>
              </w:rPr>
              <w:t xml:space="preserve">2.82</w:t>
            </w:r>
          </w:p>
        </w:tc>
        <w:tc>
          <w:tcPr>
            <w:tcW w:w="1650" w:type="dxa"/>
            <w:tcBorders>
              <w:top w:val="nil"/>
              <w:left w:val="nil"/>
              <w:bottom w:val="nil"/>
              <w:right w:val="nil"/>
            </w:tcBorders>
            <w:tcMar>
              <w:top w:w="30" w:type="dxa"/>
              <w:left w:w="60" w:type="dxa"/>
              <w:bottom w:w="30" w:type="dxa"/>
              <w:right w:w="60" w:type="dxa"/>
            </w:tcMar>
          </w:tcPr>
          <w:p>
            <w:pPr>
              <w:spacing w:before="0" w:after="0" w:line="240" w:lineRule="auto"/>
              <w:jc w:val="center"/>
            </w:pPr>
            <w:r>
              <w:rPr>
                <w:sz w:val="16"/>
                <w:szCs w:val="16"/>
              </w:rPr>
              <w:t xml:space="preserve">1.96</w:t>
            </w:r>
          </w:p>
        </w:tc>
        <w:tc>
          <w:tcPr>
            <w:tcW w:w="1870" w:type="dxa"/>
            <w:tcBorders>
              <w:top w:val="nil"/>
              <w:left w:val="nil"/>
              <w:bottom w:val="nil"/>
              <w:right w:val="nil"/>
            </w:tcBorders>
            <w:tcMar>
              <w:top w:w="30" w:type="dxa"/>
              <w:left w:w="60" w:type="dxa"/>
              <w:bottom w:w="30" w:type="dxa"/>
              <w:right w:w="60" w:type="dxa"/>
            </w:tcMar>
          </w:tcPr>
          <w:p>
            <w:pPr>
              <w:spacing w:before="0" w:after="0" w:line="240" w:lineRule="auto"/>
              <w:jc w:val="center"/>
            </w:pPr>
            <w:r>
              <w:rPr>
                <w:sz w:val="16"/>
                <w:szCs w:val="16"/>
              </w:rPr>
              <w:t xml:space="preserve">1.96</w:t>
            </w:r>
          </w:p>
        </w:tc>
      </w:tr>
      <w:tr>
        <w:trPr>
          <w:cantSplit/>
        </w:trPr>
        <w:tc>
          <w:tcPr>
            <w:tcW w:w="13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−1</w:t>
            </w:r>
          </w:p>
        </w:tc>
        <w:tc>
          <w:tcPr>
            <w:tcW w:w="1350" w:type="dxa"/>
            <w:tcBorders>
              <w:top w:val="nil"/>
              <w:left w:val="nil"/>
              <w:bottom w:val="nil"/>
              <w:right w:val="nil"/>
            </w:tcBorders>
            <w:tcMar>
              <w:top w:w="30" w:type="dxa"/>
              <w:left w:w="60" w:type="dxa"/>
              <w:bottom w:w="30" w:type="dxa"/>
              <w:right w:w="60" w:type="dxa"/>
            </w:tcMar>
          </w:tcPr>
          <w:p>
            <w:pPr>
              <w:spacing w:before="0" w:after="0" w:line="240" w:lineRule="auto"/>
              <w:jc w:val="center"/>
            </w:pPr>
            <w:r>
              <w:rPr>
                <w:sz w:val="16"/>
                <w:szCs w:val="16"/>
              </w:rPr>
              <w:t xml:space="preserve">1.18</w:t>
            </w:r>
          </w:p>
        </w:tc>
        <w:tc>
          <w:tcPr>
            <w:tcW w:w="1500" w:type="dxa"/>
            <w:tcBorders>
              <w:top w:val="nil"/>
              <w:left w:val="nil"/>
              <w:bottom w:val="nil"/>
              <w:right w:val="nil"/>
            </w:tcBorders>
            <w:tcMar>
              <w:top w:w="30" w:type="dxa"/>
              <w:left w:w="60" w:type="dxa"/>
              <w:bottom w:w="30" w:type="dxa"/>
              <w:right w:w="60" w:type="dxa"/>
            </w:tcMar>
          </w:tcPr>
          <w:p>
            <w:pPr>
              <w:spacing w:before="0" w:after="0" w:line="240" w:lineRule="auto"/>
              <w:jc w:val="center"/>
            </w:pPr>
            <w:r>
              <w:rPr>
                <w:sz w:val="16"/>
                <w:szCs w:val="16"/>
              </w:rPr>
              <w:t xml:space="preserve">1.43</w:t>
            </w:r>
          </w:p>
        </w:tc>
        <w:tc>
          <w:tcPr>
            <w:tcW w:w="1400" w:type="dxa"/>
            <w:tcBorders>
              <w:top w:val="nil"/>
              <w:left w:val="nil"/>
              <w:bottom w:val="nil"/>
              <w:right w:val="nil"/>
            </w:tcBorders>
            <w:tcMar>
              <w:top w:w="30" w:type="dxa"/>
              <w:left w:w="60" w:type="dxa"/>
              <w:bottom w:w="30" w:type="dxa"/>
              <w:right w:w="60" w:type="dxa"/>
            </w:tcMar>
          </w:tcPr>
          <w:p>
            <w:pPr>
              <w:spacing w:before="0" w:after="0" w:line="240" w:lineRule="auto"/>
              <w:jc w:val="center"/>
            </w:pPr>
            <w:r>
              <w:rPr>
                <w:sz w:val="16"/>
                <w:szCs w:val="16"/>
              </w:rPr>
              <w:t xml:space="preserve">1.65</w:t>
            </w:r>
          </w:p>
        </w:tc>
        <w:tc>
          <w:tcPr>
            <w:tcW w:w="1650" w:type="dxa"/>
            <w:tcBorders>
              <w:top w:val="nil"/>
              <w:left w:val="nil"/>
              <w:bottom w:val="nil"/>
              <w:right w:val="nil"/>
            </w:tcBorders>
            <w:tcMar>
              <w:top w:w="30" w:type="dxa"/>
              <w:left w:w="60" w:type="dxa"/>
              <w:bottom w:w="30" w:type="dxa"/>
              <w:right w:w="60" w:type="dxa"/>
            </w:tcMar>
          </w:tcPr>
          <w:p>
            <w:pPr>
              <w:spacing w:before="0" w:after="0" w:line="240" w:lineRule="auto"/>
              <w:jc w:val="center"/>
            </w:pPr>
            <w:r>
              <w:rPr>
                <w:sz w:val="16"/>
                <w:szCs w:val="16"/>
              </w:rPr>
              <w:t xml:space="preserve">1.60</w:t>
            </w:r>
          </w:p>
        </w:tc>
        <w:tc>
          <w:tcPr>
            <w:tcW w:w="1870" w:type="dxa"/>
            <w:tcBorders>
              <w:top w:val="nil"/>
              <w:left w:val="nil"/>
              <w:bottom w:val="nil"/>
              <w:right w:val="nil"/>
            </w:tcBorders>
            <w:tcMar>
              <w:top w:w="30" w:type="dxa"/>
              <w:left w:w="60" w:type="dxa"/>
              <w:bottom w:w="30" w:type="dxa"/>
              <w:right w:w="60" w:type="dxa"/>
            </w:tcMar>
          </w:tcPr>
          <w:p>
            <w:pPr>
              <w:spacing w:before="0" w:after="0" w:line="240" w:lineRule="auto"/>
              <w:jc w:val="center"/>
            </w:pPr>
            <w:r>
              <w:rPr>
                <w:sz w:val="16"/>
                <w:szCs w:val="16"/>
              </w:rPr>
              <w:t xml:space="preserve">1.48</w:t>
            </w:r>
          </w:p>
        </w:tc>
      </w:tr>
      <w:tr>
        <w:trPr>
          <w:cantSplit/>
        </w:trPr>
        <w:tc>
          <w:tcPr>
            <w:tcW w:w="13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+1</w:t>
            </w:r>
          </w:p>
        </w:tc>
        <w:tc>
          <w:tcPr>
            <w:tcW w:w="1350" w:type="dxa"/>
            <w:tcBorders>
              <w:top w:val="nil"/>
              <w:left w:val="nil"/>
              <w:bottom w:val="nil"/>
              <w:right w:val="nil"/>
            </w:tcBorders>
            <w:tcMar>
              <w:top w:w="30" w:type="dxa"/>
              <w:left w:w="60" w:type="dxa"/>
              <w:bottom w:w="30" w:type="dxa"/>
              <w:right w:w="60" w:type="dxa"/>
            </w:tcMar>
          </w:tcPr>
          <w:p>
            <w:pPr>
              <w:spacing w:before="0" w:after="0" w:line="240" w:lineRule="auto"/>
              <w:jc w:val="center"/>
            </w:pPr>
            <w:r>
              <w:rPr>
                <w:sz w:val="16"/>
                <w:szCs w:val="16"/>
              </w:rPr>
              <w:t xml:space="preserve">1.18</w:t>
            </w:r>
          </w:p>
        </w:tc>
        <w:tc>
          <w:tcPr>
            <w:tcW w:w="1500" w:type="dxa"/>
            <w:tcBorders>
              <w:top w:val="nil"/>
              <w:left w:val="nil"/>
              <w:bottom w:val="nil"/>
              <w:right w:val="nil"/>
            </w:tcBorders>
            <w:tcMar>
              <w:top w:w="30" w:type="dxa"/>
              <w:left w:w="60" w:type="dxa"/>
              <w:bottom w:w="30" w:type="dxa"/>
              <w:right w:w="60" w:type="dxa"/>
            </w:tcMar>
          </w:tcPr>
          <w:p>
            <w:pPr>
              <w:spacing w:before="0" w:after="0" w:line="240" w:lineRule="auto"/>
              <w:jc w:val="center"/>
            </w:pPr>
            <w:r>
              <w:rPr>
                <w:sz w:val="16"/>
                <w:szCs w:val="16"/>
              </w:rPr>
              <w:t xml:space="preserve">1.43</w:t>
            </w:r>
          </w:p>
        </w:tc>
        <w:tc>
          <w:tcPr>
            <w:tcW w:w="1400" w:type="dxa"/>
            <w:tcBorders>
              <w:top w:val="nil"/>
              <w:left w:val="nil"/>
              <w:bottom w:val="nil"/>
              <w:right w:val="nil"/>
            </w:tcBorders>
            <w:tcMar>
              <w:top w:w="30" w:type="dxa"/>
              <w:left w:w="60" w:type="dxa"/>
              <w:bottom w:w="30" w:type="dxa"/>
              <w:right w:w="60" w:type="dxa"/>
            </w:tcMar>
          </w:tcPr>
          <w:p>
            <w:pPr>
              <w:spacing w:before="0" w:after="0" w:line="240" w:lineRule="auto"/>
              <w:jc w:val="center"/>
            </w:pPr>
            <w:r>
              <w:rPr>
                <w:sz w:val="16"/>
                <w:szCs w:val="16"/>
              </w:rPr>
              <w:t xml:space="preserve">0.71</w:t>
            </w:r>
          </w:p>
        </w:tc>
        <w:tc>
          <w:tcPr>
            <w:tcW w:w="1650" w:type="dxa"/>
            <w:tcBorders>
              <w:top w:val="nil"/>
              <w:left w:val="nil"/>
              <w:bottom w:val="nil"/>
              <w:right w:val="nil"/>
            </w:tcBorders>
            <w:tcMar>
              <w:top w:w="30" w:type="dxa"/>
              <w:left w:w="60" w:type="dxa"/>
              <w:bottom w:w="30" w:type="dxa"/>
              <w:right w:w="60" w:type="dxa"/>
            </w:tcMar>
          </w:tcPr>
          <w:p>
            <w:pPr>
              <w:spacing w:before="0" w:after="0" w:line="240" w:lineRule="auto"/>
              <w:jc w:val="center"/>
            </w:pPr>
            <w:r>
              <w:rPr>
                <w:sz w:val="16"/>
                <w:szCs w:val="16"/>
              </w:rPr>
              <w:t xml:space="preserve">1.27</w:t>
            </w:r>
          </w:p>
        </w:tc>
        <w:tc>
          <w:tcPr>
            <w:tcW w:w="1870" w:type="dxa"/>
            <w:tcBorders>
              <w:top w:val="nil"/>
              <w:left w:val="nil"/>
              <w:bottom w:val="nil"/>
              <w:right w:val="nil"/>
            </w:tcBorders>
            <w:tcMar>
              <w:top w:w="30" w:type="dxa"/>
              <w:left w:w="60" w:type="dxa"/>
              <w:bottom w:w="30" w:type="dxa"/>
              <w:right w:w="60" w:type="dxa"/>
            </w:tcMar>
          </w:tcPr>
          <w:p>
            <w:pPr>
              <w:spacing w:before="0" w:after="0" w:line="240" w:lineRule="auto"/>
              <w:jc w:val="center"/>
            </w:pPr>
            <w:r>
              <w:rPr>
                <w:sz w:val="16"/>
                <w:szCs w:val="16"/>
              </w:rPr>
              <w:t xml:space="preserve">1.19</w:t>
            </w:r>
          </w:p>
        </w:tc>
      </w:tr>
      <w:tr>
        <w:trPr>
          <w:cantSplit/>
        </w:trPr>
        <w:tc>
          <w:tcPr>
            <w:tcW w:w="1300" w:type="dxa"/>
            <w:tcBorders>
              <w:top w:val="nil"/>
              <w:left w:val="nil"/>
              <w:bottom w:val="single" w:sz="6" w:space="0" w:color="000000"/>
              <w:right w:val="nil"/>
            </w:tcBorders>
            <w:tcMar>
              <w:top w:w="30" w:type="dxa"/>
              <w:left w:w="60" w:type="dxa"/>
              <w:bottom w:w="30" w:type="dxa"/>
              <w:right w:w="60" w:type="dxa"/>
            </w:tcMar>
          </w:tcPr>
          <w:p>
            <w:pPr>
              <w:spacing w:before="0" w:after="0" w:line="240" w:lineRule="auto"/>
              <w:jc w:val="left"/>
            </w:pPr>
            <w:r>
              <w:rPr>
                <w:sz w:val="16"/>
                <w:szCs w:val="16"/>
              </w:rPr>
              <w:t xml:space="preserve">+2</w:t>
            </w:r>
          </w:p>
        </w:tc>
        <w:tc>
          <w:tcPr>
            <w:tcW w:w="1350" w:type="dxa"/>
            <w:tcBorders>
              <w:top w:val="nil"/>
              <w:left w:val="nil"/>
              <w:bottom w:val="single" w:sz="6" w:space="0" w:color="000000"/>
              <w:right w:val="nil"/>
            </w:tcBorders>
            <w:tcMar>
              <w:top w:w="30" w:type="dxa"/>
              <w:left w:w="60" w:type="dxa"/>
              <w:bottom w:w="30" w:type="dxa"/>
              <w:right w:w="60" w:type="dxa"/>
            </w:tcMar>
          </w:tcPr>
          <w:p>
            <w:pPr>
              <w:spacing w:before="0" w:after="0" w:line="240" w:lineRule="auto"/>
              <w:jc w:val="center"/>
            </w:pPr>
            <w:r>
              <w:rPr>
                <w:sz w:val="16"/>
                <w:szCs w:val="16"/>
              </w:rPr>
              <w:t xml:space="preserve">2.35</w:t>
            </w:r>
          </w:p>
        </w:tc>
        <w:tc>
          <w:tcPr>
            <w:tcW w:w="1500" w:type="dxa"/>
            <w:tcBorders>
              <w:top w:val="nil"/>
              <w:left w:val="nil"/>
              <w:bottom w:val="single" w:sz="6" w:space="0" w:color="000000"/>
              <w:right w:val="nil"/>
            </w:tcBorders>
            <w:tcMar>
              <w:top w:w="30" w:type="dxa"/>
              <w:left w:w="60" w:type="dxa"/>
              <w:bottom w:w="30" w:type="dxa"/>
              <w:right w:w="60" w:type="dxa"/>
            </w:tcMar>
          </w:tcPr>
          <w:p>
            <w:pPr>
              <w:spacing w:before="0" w:after="0" w:line="240" w:lineRule="auto"/>
              <w:jc w:val="center"/>
            </w:pPr>
            <w:r>
              <w:rPr>
                <w:sz w:val="16"/>
                <w:szCs w:val="16"/>
              </w:rPr>
              <w:t xml:space="preserve">1.83</w:t>
            </w:r>
          </w:p>
        </w:tc>
        <w:tc>
          <w:tcPr>
            <w:tcW w:w="1400" w:type="dxa"/>
            <w:tcBorders>
              <w:top w:val="nil"/>
              <w:left w:val="nil"/>
              <w:bottom w:val="single" w:sz="6" w:space="0" w:color="000000"/>
              <w:right w:val="nil"/>
            </w:tcBorders>
            <w:tcMar>
              <w:top w:w="30" w:type="dxa"/>
              <w:left w:w="60" w:type="dxa"/>
              <w:bottom w:w="30" w:type="dxa"/>
              <w:right w:w="60" w:type="dxa"/>
            </w:tcMar>
          </w:tcPr>
          <w:p>
            <w:pPr>
              <w:spacing w:before="0" w:after="0" w:line="240" w:lineRule="auto"/>
              <w:jc w:val="center"/>
            </w:pPr>
            <w:r>
              <w:rPr>
                <w:sz w:val="16"/>
                <w:szCs w:val="16"/>
              </w:rPr>
              <w:t xml:space="preserve">1.88</w:t>
            </w:r>
          </w:p>
        </w:tc>
        <w:tc>
          <w:tcPr>
            <w:tcW w:w="1650" w:type="dxa"/>
            <w:tcBorders>
              <w:top w:val="nil"/>
              <w:left w:val="nil"/>
              <w:bottom w:val="single" w:sz="6" w:space="0" w:color="000000"/>
              <w:right w:val="nil"/>
            </w:tcBorders>
            <w:tcMar>
              <w:top w:w="30" w:type="dxa"/>
              <w:left w:w="60" w:type="dxa"/>
              <w:bottom w:w="30" w:type="dxa"/>
              <w:right w:w="60" w:type="dxa"/>
            </w:tcMar>
          </w:tcPr>
          <w:p>
            <w:pPr>
              <w:spacing w:before="0" w:after="0" w:line="240" w:lineRule="auto"/>
              <w:jc w:val="center"/>
            </w:pPr>
            <w:r>
              <w:rPr>
                <w:sz w:val="16"/>
                <w:szCs w:val="16"/>
              </w:rPr>
              <w:t xml:space="preserve">1.68</w:t>
            </w:r>
          </w:p>
        </w:tc>
        <w:tc>
          <w:tcPr>
            <w:tcW w:w="1870" w:type="dxa"/>
            <w:tcBorders>
              <w:top w:val="nil"/>
              <w:left w:val="nil"/>
              <w:bottom w:val="single" w:sz="6" w:space="0" w:color="000000"/>
              <w:right w:val="nil"/>
            </w:tcBorders>
            <w:tcMar>
              <w:top w:w="30" w:type="dxa"/>
              <w:left w:w="60" w:type="dxa"/>
              <w:bottom w:w="30" w:type="dxa"/>
              <w:right w:w="60" w:type="dxa"/>
            </w:tcMar>
          </w:tcPr>
          <w:p>
            <w:pPr>
              <w:spacing w:before="0" w:after="0" w:line="240" w:lineRule="auto"/>
              <w:jc w:val="center"/>
            </w:pPr>
            <w:r>
              <w:rPr>
                <w:sz w:val="16"/>
                <w:szCs w:val="16"/>
              </w:rPr>
              <w:t xml:space="preserve">1.42</w:t>
            </w:r>
          </w:p>
        </w:tc>
      </w:tr>
    </w:tbl>
    <w:p>
      <w:pPr>
        <w:spacing w:before="0" w:after="60" w:line="240" w:lineRule="auto"/>
        <w:jc w:val="both"/>
      </w:pPr>
    </w:p>
    <w:p>
      <w:pPr>
        <w:pStyle w:val="Balk2"/>
        <w:keepNext/>
        <w:spacing w:before="180" w:after="80"/>
      </w:pPr>
      <w:r>
        <w:t xml:space="preserve">4.2 Linear Redistribution in a Hypoid Pair</w:t>
      </w:r>
    </w:p>
    <w:p>
      <w:pPr>
        <w:spacing w:before="0" w:after="120" w:line="264" w:lineRule="auto"/>
        <w:jc w:val="both"/>
      </w:pPr>
      <w:r>
        <w:t xml:space="preserve">The mesh deflection of the hypoid pair [5] was not reported, so only linearity could be tested. The normalised toe–heel slope </w:t>
      </w:r>
      <w:r>
        <w:rPr>
          <w:i/>
          <w:iCs/>
        </w:rPr>
        <w:t xml:space="preserve">S</w:t>
      </w:r>
      <w:r>
        <w:rPr>
          <w:i/>
          <w:iCs/>
          <w:vertAlign w:val="subscript"/>
        </w:rPr>
        <w:t xml:space="preserve">V</w:t>
      </w:r>
      <w:r>
        <w:t xml:space="preserve"> of the peak-to-peak root stress decreased linearly with the pinion offset error </w:t>
      </w:r>
      <w:r>
        <w:rPr>
          <w:i/>
          <w:iCs/>
        </w:rPr>
        <w:t xml:space="preserve">V</w:t>
      </w:r>
      <w:r>
        <w:t xml:space="preserve"> (Fig. 2b): d</w:t>
      </w:r>
      <w:r>
        <w:rPr>
          <w:i/>
          <w:iCs/>
        </w:rPr>
        <w:t xml:space="preserve">S</w:t>
      </w:r>
      <w:r>
        <w:rPr>
          <w:i/>
          <w:iCs/>
          <w:vertAlign w:val="subscript"/>
        </w:rPr>
        <w:t xml:space="preserve">V</w:t>
      </w:r>
      <w:r>
        <w:t xml:space="preserve">/d</w:t>
      </w:r>
      <w:r>
        <w:rPr>
          <w:i/>
          <w:iCs/>
        </w:rPr>
        <w:t xml:space="preserve">V</w:t>
      </w:r>
      <w:r>
        <w:t xml:space="preserve"> = −2.06 </w:t>
      </w:r>
      <w:r>
        <w:t xml:space="preserve">mm</w:t>
      </w:r>
      <w:r>
        <w:rPr>
          <w:vertAlign w:val="superscript"/>
        </w:rPr>
        <w:t xml:space="preserve">−1</w:t>
      </w:r>
      <w:r>
        <w:t xml:space="preserve"> with </w:t>
      </w:r>
      <w:r>
        <w:rPr>
          <w:i/>
          <w:iCs/>
        </w:rPr>
        <w:t xml:space="preserve">R</w:t>
      </w:r>
      <w:r>
        <w:rPr>
          <w:vertAlign w:val="superscript"/>
        </w:rPr>
        <w:t xml:space="preserve">2</w:t>
      </w:r>
      <w:r>
        <w:t xml:space="preserve"> = 0.993, and a quadratic term (−1.17 </w:t>
      </w:r>
      <w:r>
        <w:t xml:space="preserve">mm</w:t>
      </w:r>
      <w:r>
        <w:rPr>
          <w:vertAlign w:val="superscript"/>
        </w:rPr>
        <w:t xml:space="preserve">−2</w:t>
      </w:r>
      <w:r>
        <w:t xml:space="preserve">) changed </w:t>
      </w:r>
      <w:r>
        <w:rPr>
          <w:i/>
          <w:iCs/>
        </w:rPr>
        <w:t xml:space="preserve">S</w:t>
      </w:r>
      <w:r>
        <w:rPr>
          <w:i/>
          <w:iCs/>
          <w:vertAlign w:val="subscript"/>
        </w:rPr>
        <w:t xml:space="preserve">V</w:t>
      </w:r>
      <w:r>
        <w:t xml:space="preserve"> by less than 0.05 over the tested range. The intercept </w:t>
      </w:r>
      <w:r>
        <w:rPr>
          <w:i/>
          <w:iCs/>
        </w:rPr>
        <w:t xml:space="preserve">S</w:t>
      </w:r>
      <w:r>
        <w:rPr>
          <w:i/>
          <w:iCs/>
          <w:vertAlign w:val="subscript"/>
        </w:rPr>
        <w:t xml:space="preserve">V</w:t>
      </w:r>
      <w:r>
        <w:t xml:space="preserve"> = 0.35 reflects the inherent toe–heel asymmetry of the hypoid contact. H3 is therefore supported within ±0.2 mm at 300 N·m.</w:t>
      </w:r>
    </w:p>
    <w:p>
      <w:pPr>
        <w:pStyle w:val="Balk2"/>
        <w:keepNext/>
        <w:spacing w:before="180" w:after="80"/>
      </w:pPr>
      <w:r>
        <w:t xml:space="preserve">4.3 Planet Load Sharing: Calibration and Internal Validation</w:t>
      </w:r>
    </w:p>
    <w:p>
      <w:pPr>
        <w:spacing w:before="0" w:after="120" w:line="264" w:lineRule="auto"/>
        <w:jc w:val="both"/>
      </w:pPr>
      <w:r>
        <w:t xml:space="preserve">Fitting Eq. (5) to the tabulated six-planet load percentages at 1000 N·m for the cases in which planet 1 had a tangential pinhole position error </w:t>
      </w:r>
      <w:r>
        <w:rPr>
          <w:i/>
          <w:iCs/>
        </w:rPr>
        <w:t xml:space="preserve">ẽ</w:t>
      </w:r>
      <w:r>
        <w:rPr>
          <w:vertAlign w:val="subscript"/>
        </w:rPr>
        <w:t xml:space="preserve">c1</w:t>
      </w:r>
      <w:r>
        <w:t xml:space="preserve"> = </w:t>
      </w:r>
      <w:r>
        <w:rPr>
          <w:i/>
          <w:iCs/>
        </w:rPr>
        <w:t xml:space="preserve">e</w:t>
      </w:r>
      <w:r>
        <w:rPr>
          <w:vertAlign w:val="subscript"/>
        </w:rPr>
        <w:t xml:space="preserve">1</w:t>
      </w:r>
      <w:r>
        <w:t xml:space="preserve"> = ±70 µm gave </w:t>
      </w:r>
      <w:r>
        <w:rPr>
          <w:i/>
          <w:iCs/>
        </w:rPr>
        <w:t xml:space="preserve">δ</w:t>
      </w:r>
      <w:r>
        <w:rPr>
          <w:vertAlign w:val="subscript"/>
        </w:rPr>
        <w:t xml:space="preserve">ref</w:t>
      </w:r>
      <w:r>
        <w:t xml:space="preserve"> = 42 µm (40–44 µm under the digitisation-noise bootstrap). With this single parameter, the model reproduced the full six-planet data set (</w:t>
      </w:r>
      <w:r>
        <w:rPr>
          <w:i/>
          <w:iCs/>
        </w:rPr>
        <w:t xml:space="preserve">ẽ</w:t>
      </w:r>
      <w:r>
        <w:rPr>
          <w:vertAlign w:val="subscript"/>
        </w:rPr>
        <w:t xml:space="preserve">c1</w:t>
      </w:r>
      <w:r>
        <w:t xml:space="preserve"> = 0, ±35, ±70 µm) with an RMSE of 1.63 percentage points, against 1.68 for the multibody contact predictions of [17] and 5.89 for equal sharing (Fig. 3a); the ±35 µm cases, not used in the fit, gave 1.53. The model also reproduced the measured pattern: the planet with the error and the opposite planet gained load, the two neighbours lost load, and the remaining pair stayed near the nominal share. H4 is supported.</w:t>
      </w:r>
    </w:p>
    <w:p>
      <w:pPr>
        <w:keepNext/>
        <w:spacing w:before="120" w:after="60" w:line="240" w:lineRule="auto"/>
        <w:jc w:val="center"/>
      </w:pPr>
      <w:r>
        <w:rPr>
          <w:noProof/>
        </w:rPr>
        <w:drawing>
          <wp:inline distT="0" distB="0" distL="0" distR="0">
            <wp:extent cx="5715000" cy="2944091"/>
            <wp:effectExtent l="0" t="0" r="0" b="0"/>
            <wp:docPr id="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a:picLocks noChangeAspect="1" noChangeArrowheads="1"/>
                    </pic:cNvPicPr>
                  </pic:nvPicPr>
                  <pic:blipFill>
                    <a:blip r:embed="rId9"/>
                    <a:srcRect/>
                    <a:stretch>
                      <a:fillRect/>
                    </a:stretch>
                  </pic:blipFill>
                  <pic:spPr bwMode="auto">
                    <a:xfrm>
                      <a:off x="0" y="0"/>
                      <a:ext cx="5715000" cy="2944091"/>
                    </a:xfrm>
                    <a:prstGeom prst="rect">
                      <a:avLst/>
                    </a:prstGeom>
                  </pic:spPr>
                </pic:pic>
              </a:graphicData>
            </a:graphic>
          </wp:inline>
        </w:drawing>
      </w:r>
    </w:p>
    <w:p>
      <w:pPr>
        <w:spacing w:before="0" w:after="200" w:line="240" w:lineRule="auto"/>
        <w:jc w:val="both"/>
      </w:pPr>
      <w:r>
        <w:rPr>
          <w:b/>
          <w:bCs/>
          <w:sz w:val="20"/>
          <w:szCs w:val="20"/>
        </w:rPr>
        <w:t xml:space="preserve">Fig. 3</w:t>
      </w:r>
      <w:r>
        <w:rPr>
          <w:sz w:val="20"/>
          <w:szCs w:val="20"/>
        </w:rPr>
        <w:t xml:space="preserve"> </w:t>
      </w:r>
      <w:r>
        <w:rPr>
          <w:sz w:val="20"/>
          <w:szCs w:val="20"/>
        </w:rPr>
        <w:t xml:space="preserve">Planet load sharing on the rig of [17, 23]. (a) Six-planet load shares at 1000 N·m against the tangential pinhole position error </w:t>
      </w:r>
      <w:r>
        <w:rPr>
          <w:i/>
          <w:iCs/>
          <w:sz w:val="20"/>
          <w:szCs w:val="20"/>
        </w:rPr>
        <w:t xml:space="preserve">ẽ</w:t>
      </w:r>
      <w:r>
        <w:rPr>
          <w:sz w:val="20"/>
          <w:szCs w:val="20"/>
          <w:vertAlign w:val="subscript"/>
        </w:rPr>
        <w:t xml:space="preserve">c1</w:t>
      </w:r>
      <w:r>
        <w:rPr>
          <w:sz w:val="20"/>
          <w:szCs w:val="20"/>
        </w:rPr>
        <w:t xml:space="preserve"> of planet 1: symbols, tabulated measurements [17]; solid lines, one-parameter model, Eq. (5); dotted lines, multibody contact model of [17] (computational, for comparison). The model lines of planets 2 and 6, and of planets 3 and 5, coincide. (b) Predicted against measured maximum (red) and minimum (blue) per-planet factors </w:t>
      </w:r>
      <w:r>
        <w:rPr>
          <w:i/>
          <w:iCs/>
          <w:sz w:val="20"/>
          <w:szCs w:val="20"/>
        </w:rPr>
        <w:t xml:space="preserve">nL</w:t>
      </w:r>
      <w:r>
        <w:rPr>
          <w:i/>
          <w:iCs/>
          <w:sz w:val="20"/>
          <w:szCs w:val="20"/>
          <w:vertAlign w:val="subscript"/>
        </w:rPr>
        <w:t xml:space="preserve">i</w:t>
      </w:r>
      <w:r>
        <w:rPr>
          <w:sz w:val="20"/>
          <w:szCs w:val="20"/>
        </w:rPr>
        <w:t xml:space="preserve"> for </w:t>
      </w:r>
      <w:r>
        <w:rPr>
          <w:i/>
          <w:iCs/>
          <w:sz w:val="20"/>
          <w:szCs w:val="20"/>
        </w:rPr>
        <w:t xml:space="preserve">n</w:t>
      </w:r>
      <w:r>
        <w:rPr>
          <w:sz w:val="20"/>
          <w:szCs w:val="20"/>
        </w:rPr>
        <w:t xml:space="preserve"> = 4 and 5 (internal validation, open symbols) and </w:t>
      </w:r>
      <w:r>
        <w:rPr>
          <w:i/>
          <w:iCs/>
          <w:sz w:val="20"/>
          <w:szCs w:val="20"/>
        </w:rPr>
        <w:t xml:space="preserve">n</w:t>
      </w:r>
      <w:r>
        <w:rPr>
          <w:sz w:val="20"/>
          <w:szCs w:val="20"/>
        </w:rPr>
        <w:t xml:space="preserve"> = 6 (calibration, filled symbols) at 600–1000 N·m</w:t>
      </w:r>
    </w:p>
    <w:p>
      <w:pPr>
        <w:spacing w:before="0" w:after="120" w:line="264" w:lineRule="auto"/>
        <w:jc w:val="both"/>
      </w:pPr>
      <w:r>
        <w:t xml:space="preserve">At 1000 N·m, the two meshes acting in parallel displace the planet centre by </w:t>
      </w:r>
      <w:r>
        <w:rPr>
          <w:i/>
          <w:iCs/>
        </w:rPr>
        <w:t xml:space="preserve">δ</w:t>
      </w:r>
      <w:r>
        <w:rPr>
          <w:vertAlign w:val="subscript"/>
        </w:rPr>
        <w:t xml:space="preserve">ISO</w:t>
      </w:r>
      <w:r>
        <w:t xml:space="preserve"> = 4.9 µm with the ISO stiffness (tangential mesh force 2.46 kN per planet), so </w:t>
      </w:r>
      <w:r>
        <w:rPr>
          <w:i/>
          <w:iCs/>
        </w:rPr>
        <w:t xml:space="preserve">η</w:t>
      </w:r>
      <w:r>
        <w:t xml:space="preserve"> = 0.12: the effective path is about 8.6 times more compliant than the meshes alone. The planet needle bearing (2.0–2.5 × </w:t>
      </w:r>
      <w:r>
        <w:t xml:space="preserve">10</w:t>
      </w:r>
      <w:r>
        <w:rPr>
          <w:vertAlign w:val="superscript"/>
        </w:rPr>
        <w:t xml:space="preserve">5</w:t>
      </w:r>
      <w:r>
        <w:t xml:space="preserve"> N/mm [15, 17]) adds about 20–25 µm under its 4.9 kN load; the remainder is attributed to the ring rim, its spline support and a mesh stiffness below the generic value. The calibrated deflection is consistent with the planet support stiffness of 9 × </w:t>
      </w:r>
      <w:r>
        <w:t xml:space="preserve">10</w:t>
      </w:r>
      <w:r>
        <w:rPr>
          <w:vertAlign w:val="superscript"/>
        </w:rPr>
        <w:t xml:space="preserve">4</w:t>
      </w:r>
      <w:r>
        <w:t xml:space="preserve"> N/mm identified for this rig with a deformable-body model [15], which gives about 55 µm. Fitting </w:t>
      </w:r>
      <w:r>
        <w:rPr>
          <w:i/>
          <w:iCs/>
        </w:rPr>
        <w:t xml:space="preserve">δ</w:t>
      </w:r>
      <w:r>
        <w:rPr>
          <w:vertAlign w:val="subscript"/>
        </w:rPr>
        <w:t xml:space="preserve">ref</w:t>
      </w:r>
      <w:r>
        <w:t xml:space="preserve"> and </w:t>
      </w:r>
      <w:r>
        <w:rPr>
          <w:i/>
          <w:iCs/>
        </w:rPr>
        <w:t xml:space="preserve">m</w:t>
      </w:r>
      <w:r>
        <w:t xml:space="preserve"> of Eq. (6) to all six-planet data (600–1000 N·m) gave </w:t>
      </w:r>
      <w:r>
        <w:rPr>
          <w:i/>
          <w:iCs/>
        </w:rPr>
        <w:t xml:space="preserve">m</w:t>
      </w:r>
      <w:r>
        <w:t xml:space="preserve"> = 0.5 (bootstrap range 0.2–0.7). For the four- and five-planet data, whose slightly unequal planet spacing the model ignores, predictions with the same </w:t>
      </w:r>
      <w:r>
        <w:rPr>
          <w:i/>
          <w:iCs/>
        </w:rPr>
        <w:t xml:space="preserve">δ</w:t>
      </w:r>
      <w:r>
        <w:rPr>
          <w:vertAlign w:val="subscript"/>
        </w:rPr>
        <w:t xml:space="preserve">ref</w:t>
      </w:r>
      <w:r>
        <w:t xml:space="preserve"> and </w:t>
      </w:r>
      <w:r>
        <w:rPr>
          <w:i/>
          <w:iCs/>
        </w:rPr>
        <w:t xml:space="preserve">m</w:t>
      </w:r>
      <w:r>
        <w:t xml:space="preserve"> and the per-planet load scaled by 6/</w:t>
      </w:r>
      <w:r>
        <w:rPr>
          <w:i/>
          <w:iCs/>
        </w:rPr>
        <w:t xml:space="preserve">n</w:t>
      </w:r>
      <w:r>
        <w:t xml:space="preserve"> gave an RMSE of </w:t>
      </w:r>
      <w:r>
        <w:rPr>
          <w:i/>
          <w:iCs/>
        </w:rPr>
        <w:t xml:space="preserve">K</w:t>
      </w:r>
      <w:r>
        <w:rPr>
          <w:vertAlign w:val="subscript"/>
        </w:rPr>
        <w:t xml:space="preserve">max</w:t>
      </w:r>
      <w:r>
        <w:t xml:space="preserve"> and </w:t>
      </w:r>
      <w:r>
        <w:rPr>
          <w:i/>
          <w:iCs/>
        </w:rPr>
        <w:t xml:space="preserve">K</w:t>
      </w:r>
      <w:r>
        <w:rPr>
          <w:vertAlign w:val="subscript"/>
        </w:rPr>
        <w:t xml:space="preserve">min</w:t>
      </w:r>
      <w:r>
        <w:t xml:space="preserve"> of 0.109, against 0.119 for </w:t>
      </w:r>
      <w:r>
        <w:rPr>
          <w:i/>
          <w:iCs/>
        </w:rPr>
        <w:t xml:space="preserve">m</w:t>
      </w:r>
      <w:r>
        <w:t xml:space="preserve"> = 1 and 0.447 for equal sharing (Fig. 3b). For </w:t>
      </w:r>
      <w:r>
        <w:rPr>
          <w:i/>
          <w:iCs/>
        </w:rPr>
        <w:t xml:space="preserve">K</w:t>
      </w:r>
      <w:r>
        <w:rPr>
          <w:vertAlign w:val="subscript"/>
        </w:rPr>
        <w:t xml:space="preserve">max</w:t>
      </w:r>
      <w:r>
        <w:t xml:space="preserve"> alone, the RMSE was 0.127, against 0.155 for the constant </w:t>
      </w:r>
      <w:r>
        <w:rPr>
          <w:i/>
          <w:iCs/>
        </w:rPr>
        <w:t xml:space="preserve">K</w:t>
      </w:r>
      <w:r>
        <w:rPr>
          <w:i/>
          <w:iCs/>
          <w:vertAlign w:val="subscript"/>
        </w:rPr>
        <w:t xml:space="preserve">γ</w:t>
      </w:r>
      <w:r>
        <w:t xml:space="preserve"> = 1.44 (Table 5).</w:t>
      </w:r>
    </w:p>
    <w:p>
      <w:pPr>
        <w:pStyle w:val="Balk2"/>
        <w:keepNext/>
        <w:spacing w:before="180" w:after="80"/>
      </w:pPr>
      <w:r>
        <w:t xml:space="preserve">4.4 Torque Dependence of the Mesh Load Factor</w:t>
      </w:r>
    </w:p>
    <w:p>
      <w:pPr>
        <w:spacing w:before="0" w:after="120" w:line="264" w:lineRule="auto"/>
        <w:jc w:val="both"/>
      </w:pPr>
      <w:r>
        <w:t xml:space="preserve">Equation (7) predicts </w:t>
      </w:r>
      <w:r>
        <w:rPr>
          <w:i/>
          <w:iCs/>
        </w:rPr>
        <w:t xml:space="preserve">K</w:t>
      </w:r>
      <w:r>
        <w:rPr>
          <w:i/>
          <w:iCs/>
          <w:vertAlign w:val="subscript"/>
        </w:rPr>
        <w:t xml:space="preserve">γ</w:t>
      </w:r>
      <w:r>
        <w:t xml:space="preserve"> − 1 ∝ </w:t>
      </w:r>
      <w:r>
        <w:rPr>
          <w:i/>
          <w:iCs/>
        </w:rPr>
        <w:t xml:space="preserve">T</w:t>
      </w:r>
      <w:r>
        <w:rPr>
          <w:vertAlign w:val="superscript"/>
        </w:rPr>
        <w:t xml:space="preserve">−</w:t>
      </w:r>
      <w:r>
        <w:rPr>
          <w:i/>
          <w:iCs/>
          <w:vertAlign w:val="superscript"/>
        </w:rPr>
        <w:t xml:space="preserve">m</w:t>
      </w:r>
      <w:r>
        <w:t xml:space="preserve"> while all planets carry load. Figure 4 shows </w:t>
      </w:r>
      <w:r>
        <w:rPr>
          <w:i/>
          <w:iCs/>
        </w:rPr>
        <w:t xml:space="preserve">K</w:t>
      </w:r>
      <w:r>
        <w:rPr>
          <w:i/>
          <w:iCs/>
          <w:vertAlign w:val="subscript"/>
        </w:rPr>
        <w:t xml:space="preserve">γ</w:t>
      </w:r>
      <w:r>
        <w:t xml:space="preserve"> − 1 against normalised torque for the twelve error cases of [23] and the four industrial series of [24, 25]. The fitted exponents were 0.75–0.97 for four planets, 0.38–0.87 for five and 0.65–0.79 for six, except for the six-planet case with </w:t>
      </w:r>
      <w:r>
        <w:rPr>
          <w:i/>
          <w:iCs/>
        </w:rPr>
        <w:t xml:space="preserve">ẽ</w:t>
      </w:r>
      <w:r>
        <w:rPr>
          <w:vertAlign w:val="subscript"/>
        </w:rPr>
        <w:t xml:space="preserve">c1</w:t>
      </w:r>
      <w:r>
        <w:t xml:space="preserve"> = −70 µm, in which planet 1 carried less than 2% of the load at every torque and the exponent fell to 0.14. The industrial series gave 0.52 and 0.70 [24], and 0.54 for counter-clockwise (CCW, 50–125%) and 1.16 for clockwise (CW) rotation [25]. Fourteen of the fifteen series with all planets loaded gave exponents below 1 (0.38–0.97; median 0.70, interquartile range 0.63–0.86). The pooled mean was 0.73 (95% CI 0.64–0.83), and both the </w:t>
      </w:r>
      <w:r>
        <w:rPr>
          <w:i/>
          <w:iCs/>
        </w:rPr>
        <w:t xml:space="preserve">t</w:t>
      </w:r>
      <w:r>
        <w:t xml:space="preserve">-test against 1 and the sign test (</w:t>
      </w:r>
      <w:r>
        <w:rPr>
          <w:i/>
          <w:iCs/>
        </w:rPr>
        <w:t xml:space="preserve">p</w:t>
      </w:r>
      <w:r>
        <w:t xml:space="preserve"> &lt; 0.001) reject H5 (</w:t>
      </w:r>
      <w:r>
        <w:rPr>
          <w:i/>
          <w:iCs/>
        </w:rPr>
        <w:t xml:space="preserve">m</w:t>
      </w:r>
      <w:r>
        <w:t xml:space="preserve"> = 1). The four industrial series alone also average 0.73, so the pooled value is not driven by one laboratory; its excess over the </w:t>
      </w:r>
      <w:r>
        <w:rPr>
          <w:i/>
          <w:iCs/>
        </w:rPr>
        <w:t xml:space="preserve">m</w:t>
      </w:r>
      <w:r>
        <w:t xml:space="preserve"> = 0.5 of the six-planet calibration set indicates a rig-dependent exponent of about 0.5–0.8. The exponent also differs from 0, the value implied by a torque-independent design factor: all fifteen exponents were positive (sign test, </w:t>
      </w:r>
      <w:r>
        <w:rPr>
          <w:i/>
          <w:iCs/>
        </w:rPr>
        <w:t xml:space="preserve">p</w:t>
      </w:r>
      <w:r>
        <w:t xml:space="preserve"> &lt; 0.001).</w:t>
      </w:r>
    </w:p>
    <w:p>
      <w:pPr>
        <w:keepNext/>
        <w:spacing w:before="120" w:after="60" w:line="240" w:lineRule="auto"/>
        <w:jc w:val="center"/>
      </w:pPr>
      <w:r>
        <w:rPr>
          <w:noProof/>
        </w:rPr>
        <w:drawing>
          <wp:inline distT="0" distB="0" distL="0" distR="0">
            <wp:extent cx="5715000" cy="2857500"/>
            <wp:effectExtent l="0" t="0" r="0" b="0"/>
            <wp:docPr id="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a:picLocks noChangeAspect="1" noChangeArrowheads="1"/>
                    </pic:cNvPicPr>
                  </pic:nvPicPr>
                  <pic:blipFill>
                    <a:blip r:embed="rId10"/>
                    <a:srcRect/>
                    <a:stretch>
                      <a:fillRect/>
                    </a:stretch>
                  </pic:blipFill>
                  <pic:spPr bwMode="auto">
                    <a:xfrm>
                      <a:off x="0" y="0"/>
                      <a:ext cx="5715000" cy="2857500"/>
                    </a:xfrm>
                    <a:prstGeom prst="rect">
                      <a:avLst/>
                    </a:prstGeom>
                  </pic:spPr>
                </pic:pic>
              </a:graphicData>
            </a:graphic>
          </wp:inline>
        </w:drawing>
      </w:r>
    </w:p>
    <w:p>
      <w:pPr>
        <w:spacing w:before="0" w:after="200" w:line="240" w:lineRule="auto"/>
        <w:jc w:val="both"/>
      </w:pPr>
      <w:r>
        <w:rPr>
          <w:b/>
          <w:bCs/>
          <w:sz w:val="20"/>
          <w:szCs w:val="20"/>
        </w:rPr>
        <w:t xml:space="preserve">Fig. 4</w:t>
      </w:r>
      <w:r>
        <w:rPr>
          <w:sz w:val="20"/>
          <w:szCs w:val="20"/>
        </w:rPr>
        <w:t xml:space="preserve"> </w:t>
      </w:r>
      <w:r>
        <w:rPr>
          <w:sz w:val="20"/>
          <w:szCs w:val="20"/>
        </w:rPr>
        <w:t xml:space="preserve">Torque dependence of </w:t>
      </w:r>
      <w:r>
        <w:rPr>
          <w:i/>
          <w:iCs/>
          <w:sz w:val="20"/>
          <w:szCs w:val="20"/>
        </w:rPr>
        <w:t xml:space="preserve">K</w:t>
      </w:r>
      <w:r>
        <w:rPr>
          <w:i/>
          <w:iCs/>
          <w:sz w:val="20"/>
          <w:szCs w:val="20"/>
          <w:vertAlign w:val="subscript"/>
        </w:rPr>
        <w:t xml:space="preserve">γ</w:t>
      </w:r>
      <w:r>
        <w:rPr>
          <w:sz w:val="20"/>
          <w:szCs w:val="20"/>
        </w:rPr>
        <w:t xml:space="preserve"> − 1 on logarithmic axes. (a) Test rig of [23]: twelve error cases for </w:t>
      </w:r>
      <w:r>
        <w:rPr>
          <w:i/>
          <w:iCs/>
          <w:sz w:val="20"/>
          <w:szCs w:val="20"/>
        </w:rPr>
        <w:t xml:space="preserve">n</w:t>
      </w:r>
      <w:r>
        <w:rPr>
          <w:sz w:val="20"/>
          <w:szCs w:val="20"/>
        </w:rPr>
        <w:t xml:space="preserve"> = 4–6 (filled symbols: </w:t>
      </w:r>
      <w:r>
        <w:rPr>
          <w:i/>
          <w:iCs/>
          <w:sz w:val="20"/>
          <w:szCs w:val="20"/>
        </w:rPr>
        <w:t xml:space="preserve">ẽ</w:t>
      </w:r>
      <w:r>
        <w:rPr>
          <w:sz w:val="20"/>
          <w:szCs w:val="20"/>
          <w:vertAlign w:val="subscript"/>
        </w:rPr>
        <w:t xml:space="preserve">c1</w:t>
      </w:r>
      <w:r>
        <w:rPr>
          <w:sz w:val="20"/>
          <w:szCs w:val="20"/>
        </w:rPr>
        <w:t xml:space="preserve"> &gt; 0; open symbols: </w:t>
      </w:r>
      <w:r>
        <w:rPr>
          <w:i/>
          <w:iCs/>
          <w:sz w:val="20"/>
          <w:szCs w:val="20"/>
        </w:rPr>
        <w:t xml:space="preserve">ẽ</w:t>
      </w:r>
      <w:r>
        <w:rPr>
          <w:sz w:val="20"/>
          <w:szCs w:val="20"/>
          <w:vertAlign w:val="subscript"/>
        </w:rPr>
        <w:t xml:space="preserve">c1</w:t>
      </w:r>
      <w:r>
        <w:rPr>
          <w:sz w:val="20"/>
          <w:szCs w:val="20"/>
        </w:rPr>
        <w:t xml:space="preserve"> &lt; 0; dashed line: six-planet case with </w:t>
      </w:r>
      <w:r>
        <w:rPr>
          <w:i/>
          <w:iCs/>
          <w:sz w:val="20"/>
          <w:szCs w:val="20"/>
        </w:rPr>
        <w:t xml:space="preserve">ẽ</w:t>
      </w:r>
      <w:r>
        <w:rPr>
          <w:sz w:val="20"/>
          <w:szCs w:val="20"/>
          <w:vertAlign w:val="subscript"/>
        </w:rPr>
        <w:t xml:space="preserve">c1</w:t>
      </w:r>
      <w:r>
        <w:rPr>
          <w:sz w:val="20"/>
          <w:szCs w:val="20"/>
        </w:rPr>
        <w:t xml:space="preserve"> = −70 µm, in which planet 1 is almost unloaded); </w:t>
      </w:r>
      <w:r>
        <w:rPr>
          <w:i/>
          <w:iCs/>
          <w:sz w:val="20"/>
          <w:szCs w:val="20"/>
        </w:rPr>
        <w:t xml:space="preserve">T</w:t>
      </w:r>
      <w:r>
        <w:rPr>
          <w:sz w:val="20"/>
          <w:szCs w:val="20"/>
          <w:vertAlign w:val="subscript"/>
        </w:rPr>
        <w:t xml:space="preserve">ref</w:t>
      </w:r>
      <w:r>
        <w:rPr>
          <w:sz w:val="20"/>
          <w:szCs w:val="20"/>
        </w:rPr>
        <w:t xml:space="preserve"> = 1000 N·m sun torque. (b) Industrial gearbox of [24, 25]; </w:t>
      </w:r>
      <w:r>
        <w:rPr>
          <w:i/>
          <w:iCs/>
          <w:sz w:val="20"/>
          <w:szCs w:val="20"/>
        </w:rPr>
        <w:t xml:space="preserve">T</w:t>
      </w:r>
      <w:r>
        <w:rPr>
          <w:sz w:val="20"/>
          <w:szCs w:val="20"/>
          <w:vertAlign w:val="subscript"/>
        </w:rPr>
        <w:t xml:space="preserve">ref</w:t>
      </w:r>
      <w:r>
        <w:rPr>
          <w:sz w:val="20"/>
          <w:szCs w:val="20"/>
        </w:rPr>
        <w:t xml:space="preserve"> = rated torque. Solid black line: pooled slope −0.73; dotted line: slope −1; dash-dot line: constant design value </w:t>
      </w:r>
      <w:r>
        <w:rPr>
          <w:i/>
          <w:iCs/>
          <w:sz w:val="20"/>
          <w:szCs w:val="20"/>
        </w:rPr>
        <w:t xml:space="preserve">K</w:t>
      </w:r>
      <w:r>
        <w:rPr>
          <w:i/>
          <w:iCs/>
          <w:sz w:val="20"/>
          <w:szCs w:val="20"/>
          <w:vertAlign w:val="subscript"/>
        </w:rPr>
        <w:t xml:space="preserve">γ</w:t>
      </w:r>
      <w:r>
        <w:rPr>
          <w:sz w:val="20"/>
          <w:szCs w:val="20"/>
        </w:rPr>
        <w:t xml:space="preserve"> = 1.44</w:t>
      </w:r>
    </w:p>
    <w:p>
      <w:pPr>
        <w:spacing w:before="0" w:after="120" w:line="264" w:lineRule="auto"/>
        <w:jc w:val="both"/>
      </w:pPr>
      <w:r>
        <w:t xml:space="preserve">The six-planet case at −70 µm marks the regime boundary: once a planet is unloaded, a lower torque cannot redistribute its share, and </w:t>
      </w:r>
      <w:r>
        <w:rPr>
          <w:i/>
          <w:iCs/>
        </w:rPr>
        <w:t xml:space="preserve">K</w:t>
      </w:r>
      <w:r>
        <w:rPr>
          <w:i/>
          <w:iCs/>
          <w:vertAlign w:val="subscript"/>
        </w:rPr>
        <w:t xml:space="preserve">γ</w:t>
      </w:r>
      <w:r>
        <w:t xml:space="preserve"> saturates. This is the planetary counterpart of the loss of end contact at |</w:t>
      </w:r>
      <w:r>
        <w:rPr>
          <w:i/>
          <w:iCs/>
        </w:rPr>
        <w:t xml:space="preserve">Π</w:t>
      </w:r>
      <w:r>
        <w:t xml:space="preserve">| = 2 in Eq. (4).</w:t>
      </w:r>
    </w:p>
    <w:p>
      <w:pPr>
        <w:pStyle w:val="Balk2"/>
        <w:keepNext/>
        <w:spacing w:before="180" w:after="80"/>
      </w:pPr>
      <w:r>
        <w:t xml:space="preserve">4.5 External Validation on an Industrial Gearbox</w:t>
      </w:r>
    </w:p>
    <w:p>
      <w:pPr>
        <w:spacing w:before="0" w:after="120" w:line="264" w:lineRule="auto"/>
        <w:jc w:val="both"/>
      </w:pPr>
      <w:r>
        <w:t xml:space="preserve">The industrial gearbox [24, 25] was predicted from its measured pinhole errors with </w:t>
      </w:r>
      <w:r>
        <w:rPr>
          <w:i/>
          <w:iCs/>
        </w:rPr>
        <w:t xml:space="preserve">η</w:t>
      </w:r>
      <w:r>
        <w:t xml:space="preserve"> = 0.12 and </w:t>
      </w:r>
      <w:r>
        <w:rPr>
          <w:i/>
          <w:iCs/>
        </w:rPr>
        <w:t xml:space="preserve">m</w:t>
      </w:r>
      <w:r>
        <w:t xml:space="preserve"> = 0.5 from the calibration set and with the mesh deflection computed from the stage-1 geometry (</w:t>
      </w:r>
      <w:r>
        <w:rPr>
          <w:i/>
          <w:iCs/>
        </w:rPr>
        <w:t xml:space="preserve">b</w:t>
      </w:r>
      <w:r>
        <w:t xml:space="preserve"> = 72 mm, ring pitch radius 196 mm). Because the sign convention of the errors relative to the direction of rotation is ambiguous in [25], both mappings were evaluated. With the floating-sun model and the better mapping, the per-pin RMSE for [25] was 0.321 against 0.424 for equal sharing, a 24% reduction (Fig. 5a); the opposite mapping gave 0.586, and a fixed-sun model 0.82–0.90. For [24], the model gave 0.407 against 0.391 for equal sharing (Fig. 5b): the transferred model did not explain the measured pattern. The peak factor was predicted with an RMSE of 0.408 [25] and 0.461 [24], worse than 0.358 and 0.238 for the constant 1.44, so H6 is not supported.</w:t>
      </w:r>
    </w:p>
    <w:p>
      <w:pPr>
        <w:keepNext/>
        <w:spacing w:before="120" w:after="60" w:line="240" w:lineRule="auto"/>
        <w:jc w:val="center"/>
      </w:pPr>
      <w:r>
        <w:rPr>
          <w:noProof/>
        </w:rPr>
        <w:drawing>
          <wp:inline distT="0" distB="0" distL="0" distR="0">
            <wp:extent cx="5715000" cy="2944091"/>
            <wp:effectExtent l="0" t="0" r="0" b="0"/>
            <wp:docPr id="5"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pic:cNvPicPr>
                      <a:picLocks noChangeAspect="1" noChangeArrowheads="1"/>
                    </pic:cNvPicPr>
                  </pic:nvPicPr>
                  <pic:blipFill>
                    <a:blip r:embed="rId11"/>
                    <a:srcRect/>
                    <a:stretch>
                      <a:fillRect/>
                    </a:stretch>
                  </pic:blipFill>
                  <pic:spPr bwMode="auto">
                    <a:xfrm>
                      <a:off x="0" y="0"/>
                      <a:ext cx="5715000" cy="2944091"/>
                    </a:xfrm>
                    <a:prstGeom prst="rect">
                      <a:avLst/>
                    </a:prstGeom>
                  </pic:spPr>
                </pic:pic>
              </a:graphicData>
            </a:graphic>
          </wp:inline>
        </w:drawing>
      </w:r>
    </w:p>
    <w:p>
      <w:pPr>
        <w:spacing w:before="0" w:after="200" w:line="240" w:lineRule="auto"/>
        <w:jc w:val="both"/>
      </w:pPr>
      <w:r>
        <w:rPr>
          <w:b/>
          <w:bCs/>
          <w:sz w:val="20"/>
          <w:szCs w:val="20"/>
        </w:rPr>
        <w:t xml:space="preserve">Fig. 5</w:t>
      </w:r>
      <w:r>
        <w:rPr>
          <w:sz w:val="20"/>
          <w:szCs w:val="20"/>
        </w:rPr>
        <w:t xml:space="preserve"> </w:t>
      </w:r>
      <w:r>
        <w:rPr>
          <w:sz w:val="20"/>
          <w:szCs w:val="20"/>
        </w:rPr>
        <w:t xml:space="preserve">External validation on the industrial six-planet gearbox. Per-pin mesh load factors </w:t>
      </w:r>
      <w:r>
        <w:rPr>
          <w:i/>
          <w:iCs/>
          <w:sz w:val="20"/>
          <w:szCs w:val="20"/>
        </w:rPr>
        <w:t xml:space="preserve">K</w:t>
      </w:r>
      <w:r>
        <w:rPr>
          <w:i/>
          <w:iCs/>
          <w:sz w:val="20"/>
          <w:szCs w:val="20"/>
          <w:vertAlign w:val="subscript"/>
        </w:rPr>
        <w:t xml:space="preserve">γ</w:t>
      </w:r>
      <w:r>
        <w:rPr>
          <w:sz w:val="20"/>
          <w:szCs w:val="20"/>
          <w:vertAlign w:val="subscript"/>
        </w:rPr>
        <w:t xml:space="preserve">,</w:t>
      </w:r>
      <w:r>
        <w:rPr>
          <w:i/>
          <w:iCs/>
          <w:sz w:val="20"/>
          <w:szCs w:val="20"/>
          <w:vertAlign w:val="subscript"/>
        </w:rPr>
        <w:t xml:space="preserve">i</w:t>
      </w:r>
      <w:r>
        <w:rPr>
          <w:sz w:val="20"/>
          <w:szCs w:val="20"/>
        </w:rPr>
        <w:t xml:space="preserve"> predicted from the measured pinhole errors with </w:t>
      </w:r>
      <w:r>
        <w:rPr>
          <w:i/>
          <w:iCs/>
          <w:sz w:val="20"/>
          <w:szCs w:val="20"/>
        </w:rPr>
        <w:t xml:space="preserve">η</w:t>
      </w:r>
      <w:r>
        <w:rPr>
          <w:sz w:val="20"/>
          <w:szCs w:val="20"/>
        </w:rPr>
        <w:t xml:space="preserve"> = 0.12 and </w:t>
      </w:r>
      <w:r>
        <w:rPr>
          <w:i/>
          <w:iCs/>
          <w:sz w:val="20"/>
          <w:szCs w:val="20"/>
        </w:rPr>
        <w:t xml:space="preserve">m</w:t>
      </w:r>
      <w:r>
        <w:rPr>
          <w:sz w:val="20"/>
          <w:szCs w:val="20"/>
        </w:rPr>
        <w:t xml:space="preserve"> = 0.5 from the calibration set, against measurements. (a) Data of [25] (filled: CCW; open: CW). (b) Data of [24] (filled: compression gauges; open: tension gauges). Colour indicates the torque level as a percentage of the rated torque</w:t>
      </w:r>
    </w:p>
    <w:p>
      <w:pPr>
        <w:spacing w:before="0" w:after="120" w:line="264" w:lineRule="auto"/>
        <w:jc w:val="both"/>
      </w:pPr>
      <w:r>
        <w:t xml:space="preserve">In a separate recalibration test, </w:t>
      </w:r>
      <w:r>
        <w:rPr>
          <w:i/>
          <w:iCs/>
        </w:rPr>
        <w:t xml:space="preserve">δ</w:t>
      </w:r>
      <w:r>
        <w:rPr>
          <w:vertAlign w:val="subscript"/>
        </w:rPr>
        <w:t xml:space="preserve">ref</w:t>
      </w:r>
      <w:r>
        <w:t xml:space="preserve"> was fitted to the 100% torque data of each external set and the other torque levels were predicted. For [25], the per-pin RMSE was 0.341 against 0.456 for equal sharing on the same subset, and the peak-factor RMSE was 0.391 with </w:t>
      </w:r>
      <w:r>
        <w:rPr>
          <w:i/>
          <w:iCs/>
        </w:rPr>
        <w:t xml:space="preserve">m</w:t>
      </w:r>
      <w:r>
        <w:t xml:space="preserve"> = 0.5 and 0.294 with </w:t>
      </w:r>
      <w:r>
        <w:rPr>
          <w:i/>
          <w:iCs/>
        </w:rPr>
        <w:t xml:space="preserve">m</w:t>
      </w:r>
      <w:r>
        <w:t xml:space="preserve"> = 1, against 0.393 for the constant, in line with the CW exponent of 1.16 (Fig. 4b). For [24], the fit reverted to equal sharing (</w:t>
      </w:r>
      <w:r>
        <w:rPr>
          <w:i/>
          <w:iCs/>
        </w:rPr>
        <w:t xml:space="preserve">δ</w:t>
      </w:r>
      <w:r>
        <w:rPr>
          <w:vertAlign w:val="subscript"/>
        </w:rPr>
        <w:t xml:space="preserve">ref</w:t>
      </w:r>
      <w:r>
        <w:t xml:space="preserve"> at the upper search bound of 2000 µm). Yet for the 100% condition of the same test, the load shares computed with a system-level model [21] give an RMSE of </w:t>
      </w:r>
      <w:r>
        <w:rPr>
          <w:i/>
          <w:iCs/>
        </w:rPr>
        <w:t xml:space="preserve">nL</w:t>
      </w:r>
      <w:r>
        <w:rPr>
          <w:i/>
          <w:iCs/>
          <w:vertAlign w:val="subscript"/>
        </w:rPr>
        <w:t xml:space="preserve">i</w:t>
      </w:r>
      <w:r>
        <w:t xml:space="preserve"> of 0.07 against 0.23 for equal sharing, so the measured errors carry information that the single-spring model with transferred </w:t>
      </w:r>
      <w:r>
        <w:rPr>
          <w:i/>
          <w:iCs/>
        </w:rPr>
        <w:t xml:space="preserve">η</w:t>
      </w:r>
      <w:r>
        <w:t xml:space="preserve"> does not capture.</w:t>
      </w:r>
    </w:p>
    <w:p>
      <w:pPr>
        <w:keepNext/>
        <w:spacing w:before="200" w:after="80" w:line="240" w:lineRule="auto"/>
        <w:jc w:val="both"/>
      </w:pPr>
      <w:r>
        <w:rPr>
          <w:b/>
          <w:bCs/>
          <w:sz w:val="20"/>
          <w:szCs w:val="20"/>
        </w:rPr>
        <w:t xml:space="preserve">Table 5</w:t>
      </w:r>
      <w:r>
        <w:rPr>
          <w:sz w:val="20"/>
          <w:szCs w:val="20"/>
        </w:rPr>
        <w:t xml:space="preserve"> </w:t>
      </w:r>
      <w:r>
        <w:rPr>
          <w:sz w:val="20"/>
          <w:szCs w:val="20"/>
        </w:rPr>
        <w:t xml:space="preserve">Comparison with baseline models: RMSE of the per-planet factor </w:t>
      </w:r>
      <w:r>
        <w:rPr>
          <w:i/>
          <w:iCs/>
          <w:sz w:val="20"/>
          <w:szCs w:val="20"/>
        </w:rPr>
        <w:t xml:space="preserve">nL</w:t>
      </w:r>
      <w:r>
        <w:rPr>
          <w:i/>
          <w:iCs/>
          <w:sz w:val="20"/>
          <w:szCs w:val="20"/>
          <w:vertAlign w:val="subscript"/>
        </w:rPr>
        <w:t xml:space="preserve">i</w:t>
      </w:r>
      <w:r>
        <w:rPr>
          <w:sz w:val="20"/>
          <w:szCs w:val="20"/>
        </w:rPr>
        <w:t xml:space="preserve"> (planetary sets) or of the normalised strain (helical pair). Lower is better; AIC is given where parameter counts differ; pp = percentage points</w:t>
      </w:r>
    </w:p>
    <w:tbl>
      <w:tblPr>
        <w:tblW w:w="9070" w:type="dxa"/>
        <w:tblLayout w:type="fixed"/>
        <w:tblCellMar>
          <w:left w:w="60" w:type="dxa"/>
          <w:right w:w="60" w:type="dxa"/>
        </w:tblCellMar>
        <w:tblLook w:val="04A0" w:firstRow="1" w:lastRow="0" w:firstColumn="1" w:lastColumn="0" w:noHBand="0" w:noVBand="1"/>
      </w:tblPr>
      <w:tblGrid>
        <w:gridCol w:w="2470"/>
        <w:gridCol w:w="1700"/>
        <w:gridCol w:w="1800"/>
        <w:gridCol w:w="1400"/>
        <w:gridCol w:w="1700"/>
      </w:tblGrid>
      <w:tr>
        <w:trPr>
          <w:cantSplit/>
          <w:tblHeader/>
        </w:trPr>
        <w:tc>
          <w:tcPr>
            <w:tcW w:w="2470" w:type="dxa"/>
            <w:tcBorders>
              <w:top w:val="single" w:sz="6" w:space="0" w:color="000000"/>
              <w:left w:val="nil"/>
              <w:bottom w:val="single" w:sz="6" w:space="0" w:color="000000"/>
              <w:right w:val="nil"/>
            </w:tcBorders>
            <w:tcMar>
              <w:top w:w="30" w:type="dxa"/>
              <w:left w:w="60" w:type="dxa"/>
              <w:bottom w:w="30" w:type="dxa"/>
              <w:right w:w="60" w:type="dxa"/>
            </w:tcMar>
          </w:tcPr>
          <w:p>
            <w:pPr>
              <w:spacing w:before="0" w:after="0" w:line="240" w:lineRule="auto"/>
              <w:jc w:val="left"/>
            </w:pPr>
            <w:r>
              <w:rPr>
                <w:b/>
                <w:bCs/>
                <w:sz w:val="16"/>
                <w:szCs w:val="16"/>
              </w:rPr>
              <w:t xml:space="preserve">Data set (role)</w:t>
            </w:r>
          </w:p>
        </w:tc>
        <w:tc>
          <w:tcPr>
            <w:tcW w:w="1700" w:type="dxa"/>
            <w:tcBorders>
              <w:top w:val="single" w:sz="6" w:space="0" w:color="000000"/>
              <w:left w:val="nil"/>
              <w:bottom w:val="single" w:sz="6" w:space="0" w:color="000000"/>
              <w:right w:val="nil"/>
            </w:tcBorders>
            <w:tcMar>
              <w:top w:w="30" w:type="dxa"/>
              <w:left w:w="60" w:type="dxa"/>
              <w:bottom w:w="30" w:type="dxa"/>
              <w:right w:w="60" w:type="dxa"/>
            </w:tcMar>
          </w:tcPr>
          <w:p>
            <w:pPr>
              <w:spacing w:before="0" w:after="0" w:line="240" w:lineRule="auto"/>
              <w:jc w:val="left"/>
            </w:pPr>
            <w:r>
              <w:rPr>
                <w:b/>
                <w:bCs/>
                <w:sz w:val="16"/>
                <w:szCs w:val="16"/>
              </w:rPr>
              <w:t xml:space="preserve">Compliance-ratio model</w:t>
            </w:r>
          </w:p>
        </w:tc>
        <w:tc>
          <w:tcPr>
            <w:tcW w:w="1800" w:type="dxa"/>
            <w:tcBorders>
              <w:top w:val="single" w:sz="6" w:space="0" w:color="000000"/>
              <w:left w:val="nil"/>
              <w:bottom w:val="single" w:sz="6" w:space="0" w:color="000000"/>
              <w:right w:val="nil"/>
            </w:tcBorders>
            <w:tcMar>
              <w:top w:w="30" w:type="dxa"/>
              <w:left w:w="60" w:type="dxa"/>
              <w:bottom w:w="30" w:type="dxa"/>
              <w:right w:w="60" w:type="dxa"/>
            </w:tcMar>
          </w:tcPr>
          <w:p>
            <w:pPr>
              <w:spacing w:before="0" w:after="0" w:line="240" w:lineRule="auto"/>
              <w:jc w:val="left"/>
            </w:pPr>
            <w:r>
              <w:rPr>
                <w:b/>
                <w:bCs/>
                <w:sz w:val="16"/>
                <w:szCs w:val="16"/>
              </w:rPr>
              <w:t xml:space="preserve">Linear, nominal or multibody model</w:t>
            </w:r>
          </w:p>
        </w:tc>
        <w:tc>
          <w:tcPr>
            <w:tcW w:w="1400" w:type="dxa"/>
            <w:tcBorders>
              <w:top w:val="single" w:sz="6" w:space="0" w:color="000000"/>
              <w:left w:val="nil"/>
              <w:bottom w:val="single" w:sz="6" w:space="0" w:color="000000"/>
              <w:right w:val="nil"/>
            </w:tcBorders>
            <w:tcMar>
              <w:top w:w="30" w:type="dxa"/>
              <w:left w:w="60" w:type="dxa"/>
              <w:bottom w:w="30" w:type="dxa"/>
              <w:right w:w="60" w:type="dxa"/>
            </w:tcMar>
          </w:tcPr>
          <w:p>
            <w:pPr>
              <w:spacing w:before="0" w:after="0" w:line="240" w:lineRule="auto"/>
              <w:jc w:val="left"/>
            </w:pPr>
            <w:r>
              <w:rPr>
                <w:b/>
                <w:bCs/>
                <w:sz w:val="16"/>
                <w:szCs w:val="16"/>
              </w:rPr>
              <w:t xml:space="preserve">Constant </w:t>
            </w:r>
            <w:r>
              <w:rPr>
                <w:b/>
                <w:bCs/>
                <w:i/>
                <w:iCs/>
                <w:sz w:val="16"/>
                <w:szCs w:val="16"/>
              </w:rPr>
              <w:t xml:space="preserve">K</w:t>
            </w:r>
            <w:r>
              <w:rPr>
                <w:b/>
                <w:bCs/>
                <w:i/>
                <w:iCs/>
                <w:sz w:val="16"/>
                <w:szCs w:val="16"/>
                <w:vertAlign w:val="subscript"/>
              </w:rPr>
              <w:t xml:space="preserve">γ</w:t>
            </w:r>
            <w:r>
              <w:rPr>
                <w:b/>
                <w:bCs/>
                <w:sz w:val="16"/>
                <w:szCs w:val="16"/>
              </w:rPr>
              <w:t xml:space="preserve"> = 1.44</w:t>
            </w:r>
          </w:p>
        </w:tc>
        <w:tc>
          <w:tcPr>
            <w:tcW w:w="1700" w:type="dxa"/>
            <w:tcBorders>
              <w:top w:val="single" w:sz="6" w:space="0" w:color="000000"/>
              <w:left w:val="nil"/>
              <w:bottom w:val="single" w:sz="6" w:space="0" w:color="000000"/>
              <w:right w:val="nil"/>
            </w:tcBorders>
            <w:tcMar>
              <w:top w:w="30" w:type="dxa"/>
              <w:left w:w="60" w:type="dxa"/>
              <w:bottom w:w="30" w:type="dxa"/>
              <w:right w:w="60" w:type="dxa"/>
            </w:tcMar>
          </w:tcPr>
          <w:p>
            <w:pPr>
              <w:spacing w:before="0" w:after="0" w:line="240" w:lineRule="auto"/>
              <w:jc w:val="left"/>
            </w:pPr>
            <w:r>
              <w:rPr>
                <w:b/>
                <w:bCs/>
                <w:sz w:val="16"/>
                <w:szCs w:val="16"/>
              </w:rPr>
              <w:t xml:space="preserve">Equal sharing or uniform</w:t>
            </w:r>
          </w:p>
        </w:tc>
      </w:tr>
      <w:tr>
        <w:trPr>
          <w:cantSplit/>
        </w:trPr>
        <w:tc>
          <w:tcPr>
            <w:tcW w:w="247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Helical, </w:t>
            </w:r>
            <w:r>
              <w:rPr>
                <w:i/>
                <w:iCs/>
                <w:sz w:val="16"/>
                <w:szCs w:val="16"/>
              </w:rPr>
              <w:t xml:space="preserve">C</w:t>
            </w:r>
            <w:r>
              <w:rPr>
                <w:i/>
                <w:iCs/>
                <w:sz w:val="16"/>
                <w:szCs w:val="16"/>
                <w:vertAlign w:val="subscript"/>
              </w:rPr>
              <w:t xml:space="preserve">β</w:t>
            </w:r>
            <w:r>
              <w:rPr>
                <w:sz w:val="16"/>
                <w:szCs w:val="16"/>
              </w:rPr>
              <w:t xml:space="preserve"> = 0 (calibration)</w:t>
            </w:r>
          </w:p>
        </w:tc>
        <w:tc>
          <w:tcPr>
            <w:tcW w:w="17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0.073 (</w:t>
            </w:r>
            <w:r>
              <w:rPr>
                <w:i/>
                <w:iCs/>
                <w:sz w:val="16"/>
                <w:szCs w:val="16"/>
              </w:rPr>
              <w:t xml:space="preserve">k</w:t>
            </w:r>
            <w:r>
              <w:rPr>
                <w:sz w:val="16"/>
                <w:szCs w:val="16"/>
              </w:rPr>
              <w:t xml:space="preserve"> = 3; AIC −125.1)</w:t>
            </w:r>
          </w:p>
        </w:tc>
        <w:tc>
          <w:tcPr>
            <w:tcW w:w="18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0.144 (</w:t>
            </w:r>
            <w:r>
              <w:rPr>
                <w:i/>
                <w:iCs/>
                <w:sz w:val="16"/>
                <w:szCs w:val="16"/>
              </w:rPr>
              <w:t xml:space="preserve">k</w:t>
            </w:r>
            <w:r>
              <w:rPr>
                <w:sz w:val="16"/>
                <w:szCs w:val="16"/>
              </w:rPr>
              <w:t xml:space="preserve"> = 0; AIC −96.9)</w:t>
            </w:r>
          </w:p>
        </w:tc>
        <w:tc>
          <w:tcPr>
            <w:tcW w:w="14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w:t>
            </w:r>
          </w:p>
        </w:tc>
        <w:tc>
          <w:tcPr>
            <w:tcW w:w="17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w:t>
            </w:r>
          </w:p>
        </w:tc>
      </w:tr>
      <w:tr>
        <w:trPr>
          <w:cantSplit/>
        </w:trPr>
        <w:tc>
          <w:tcPr>
            <w:tcW w:w="247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Helical, </w:t>
            </w:r>
            <w:r>
              <w:rPr>
                <w:i/>
                <w:iCs/>
                <w:sz w:val="16"/>
                <w:szCs w:val="16"/>
              </w:rPr>
              <w:t xml:space="preserve">C</w:t>
            </w:r>
            <w:r>
              <w:rPr>
                <w:i/>
                <w:iCs/>
                <w:sz w:val="16"/>
                <w:szCs w:val="16"/>
                <w:vertAlign w:val="subscript"/>
              </w:rPr>
              <w:t xml:space="preserve">β</w:t>
            </w:r>
            <w:r>
              <w:rPr>
                <w:sz w:val="16"/>
                <w:szCs w:val="16"/>
              </w:rPr>
              <w:t xml:space="preserve"> = 25 µm (internal validation)</w:t>
            </w:r>
          </w:p>
        </w:tc>
        <w:tc>
          <w:tcPr>
            <w:tcW w:w="17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0.148</w:t>
            </w:r>
          </w:p>
        </w:tc>
        <w:tc>
          <w:tcPr>
            <w:tcW w:w="18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0.189</w:t>
            </w:r>
          </w:p>
        </w:tc>
        <w:tc>
          <w:tcPr>
            <w:tcW w:w="14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w:t>
            </w:r>
          </w:p>
        </w:tc>
        <w:tc>
          <w:tcPr>
            <w:tcW w:w="17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w:t>
            </w:r>
          </w:p>
        </w:tc>
      </w:tr>
      <w:tr>
        <w:trPr>
          <w:cantSplit/>
        </w:trPr>
        <w:tc>
          <w:tcPr>
            <w:tcW w:w="247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Six-planet shares, 1000 N·m (calibration)</w:t>
            </w:r>
          </w:p>
        </w:tc>
        <w:tc>
          <w:tcPr>
            <w:tcW w:w="17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1.63 pp (</w:t>
            </w:r>
            <w:r>
              <w:rPr>
                <w:i/>
                <w:iCs/>
                <w:sz w:val="16"/>
                <w:szCs w:val="16"/>
              </w:rPr>
              <w:t xml:space="preserve">k</w:t>
            </w:r>
            <w:r>
              <w:rPr>
                <w:sz w:val="16"/>
                <w:szCs w:val="16"/>
              </w:rPr>
              <w:t xml:space="preserve"> = 1)</w:t>
            </w:r>
          </w:p>
        </w:tc>
        <w:tc>
          <w:tcPr>
            <w:tcW w:w="18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Multibody model [17]: 1.68 pp</w:t>
            </w:r>
          </w:p>
        </w:tc>
        <w:tc>
          <w:tcPr>
            <w:tcW w:w="14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w:t>
            </w:r>
          </w:p>
        </w:tc>
        <w:tc>
          <w:tcPr>
            <w:tcW w:w="17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5.89 pp</w:t>
            </w:r>
          </w:p>
        </w:tc>
      </w:tr>
      <w:tr>
        <w:trPr>
          <w:cantSplit/>
        </w:trPr>
        <w:tc>
          <w:tcPr>
            <w:tcW w:w="247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Six-planet </w:t>
            </w:r>
            <w:r>
              <w:rPr>
                <w:i/>
                <w:iCs/>
                <w:sz w:val="16"/>
                <w:szCs w:val="16"/>
              </w:rPr>
              <w:t xml:space="preserve">K</w:t>
            </w:r>
            <w:r>
              <w:rPr>
                <w:sz w:val="16"/>
                <w:szCs w:val="16"/>
                <w:vertAlign w:val="subscript"/>
              </w:rPr>
              <w:t xml:space="preserve">max</w:t>
            </w:r>
            <w:r>
              <w:rPr>
                <w:sz w:val="16"/>
                <w:szCs w:val="16"/>
              </w:rPr>
              <w:t xml:space="preserve">, 600–1000 N·m (calibration)</w:t>
            </w:r>
          </w:p>
        </w:tc>
        <w:tc>
          <w:tcPr>
            <w:tcW w:w="17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0.114 (</w:t>
            </w:r>
            <w:r>
              <w:rPr>
                <w:i/>
                <w:iCs/>
                <w:sz w:val="16"/>
                <w:szCs w:val="16"/>
              </w:rPr>
              <w:t xml:space="preserve">m</w:t>
            </w:r>
            <w:r>
              <w:rPr>
                <w:sz w:val="16"/>
                <w:szCs w:val="16"/>
              </w:rPr>
              <w:t xml:space="preserve"> = 0.5)</w:t>
            </w:r>
          </w:p>
        </w:tc>
        <w:tc>
          <w:tcPr>
            <w:tcW w:w="18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0.181 (</w:t>
            </w:r>
            <w:r>
              <w:rPr>
                <w:i/>
                <w:iCs/>
                <w:sz w:val="16"/>
                <w:szCs w:val="16"/>
              </w:rPr>
              <w:t xml:space="preserve">m</w:t>
            </w:r>
            <w:r>
              <w:rPr>
                <w:sz w:val="16"/>
                <w:szCs w:val="16"/>
              </w:rPr>
              <w:t xml:space="preserve"> = 1)</w:t>
            </w:r>
          </w:p>
        </w:tc>
        <w:tc>
          <w:tcPr>
            <w:tcW w:w="14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0.243</w:t>
            </w:r>
          </w:p>
        </w:tc>
        <w:tc>
          <w:tcPr>
            <w:tcW w:w="17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w:t>
            </w:r>
          </w:p>
        </w:tc>
      </w:tr>
      <w:tr>
        <w:trPr>
          <w:cantSplit/>
        </w:trPr>
        <w:tc>
          <w:tcPr>
            <w:tcW w:w="247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Four- and five-planet </w:t>
            </w:r>
            <w:r>
              <w:rPr>
                <w:i/>
                <w:iCs/>
                <w:sz w:val="16"/>
                <w:szCs w:val="16"/>
              </w:rPr>
              <w:t xml:space="preserve">K</w:t>
            </w:r>
            <w:r>
              <w:rPr>
                <w:sz w:val="16"/>
                <w:szCs w:val="16"/>
                <w:vertAlign w:val="subscript"/>
              </w:rPr>
              <w:t xml:space="preserve">max</w:t>
            </w:r>
            <w:r>
              <w:rPr>
                <w:sz w:val="16"/>
                <w:szCs w:val="16"/>
              </w:rPr>
              <w:t xml:space="preserve">, </w:t>
            </w:r>
            <w:r>
              <w:rPr>
                <w:i/>
                <w:iCs/>
                <w:sz w:val="16"/>
                <w:szCs w:val="16"/>
              </w:rPr>
              <w:t xml:space="preserve">K</w:t>
            </w:r>
            <w:r>
              <w:rPr>
                <w:sz w:val="16"/>
                <w:szCs w:val="16"/>
                <w:vertAlign w:val="subscript"/>
              </w:rPr>
              <w:t xml:space="preserve">min</w:t>
            </w:r>
            <w:r>
              <w:rPr>
                <w:sz w:val="16"/>
                <w:szCs w:val="16"/>
              </w:rPr>
              <w:t xml:space="preserve"> (internal validation)</w:t>
            </w:r>
          </w:p>
        </w:tc>
        <w:tc>
          <w:tcPr>
            <w:tcW w:w="17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0.109 (AIC −209.1)</w:t>
            </w:r>
          </w:p>
        </w:tc>
        <w:tc>
          <w:tcPr>
            <w:tcW w:w="18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0.119 (AIC −202.6)</w:t>
            </w:r>
          </w:p>
        </w:tc>
        <w:tc>
          <w:tcPr>
            <w:tcW w:w="14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w:t>
            </w:r>
          </w:p>
        </w:tc>
        <w:tc>
          <w:tcPr>
            <w:tcW w:w="17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0.447 (AIC −77.2)</w:t>
            </w:r>
          </w:p>
        </w:tc>
      </w:tr>
      <w:tr>
        <w:trPr>
          <w:cantSplit/>
        </w:trPr>
        <w:tc>
          <w:tcPr>
            <w:tcW w:w="247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Four- and five-planet </w:t>
            </w:r>
            <w:r>
              <w:rPr>
                <w:i/>
                <w:iCs/>
                <w:sz w:val="16"/>
                <w:szCs w:val="16"/>
              </w:rPr>
              <w:t xml:space="preserve">K</w:t>
            </w:r>
            <w:r>
              <w:rPr>
                <w:sz w:val="16"/>
                <w:szCs w:val="16"/>
                <w:vertAlign w:val="subscript"/>
              </w:rPr>
              <w:t xml:space="preserve">max</w:t>
            </w:r>
            <w:r>
              <w:rPr>
                <w:sz w:val="16"/>
                <w:szCs w:val="16"/>
              </w:rPr>
              <w:t xml:space="preserve"> (internal validation)</w:t>
            </w:r>
          </w:p>
        </w:tc>
        <w:tc>
          <w:tcPr>
            <w:tcW w:w="17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0.127</w:t>
            </w:r>
          </w:p>
        </w:tc>
        <w:tc>
          <w:tcPr>
            <w:tcW w:w="18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0.139</w:t>
            </w:r>
          </w:p>
        </w:tc>
        <w:tc>
          <w:tcPr>
            <w:tcW w:w="14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0.155</w:t>
            </w:r>
          </w:p>
        </w:tc>
        <w:tc>
          <w:tcPr>
            <w:tcW w:w="17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w:t>
            </w:r>
          </w:p>
        </w:tc>
      </w:tr>
      <w:tr>
        <w:trPr>
          <w:cantSplit/>
        </w:trPr>
        <w:tc>
          <w:tcPr>
            <w:tcW w:w="247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[25] per pin (external validation)</w:t>
            </w:r>
          </w:p>
        </w:tc>
        <w:tc>
          <w:tcPr>
            <w:tcW w:w="17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0.321</w:t>
            </w:r>
          </w:p>
        </w:tc>
        <w:tc>
          <w:tcPr>
            <w:tcW w:w="18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w:t>
            </w:r>
          </w:p>
        </w:tc>
        <w:tc>
          <w:tcPr>
            <w:tcW w:w="14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w:t>
            </w:r>
          </w:p>
        </w:tc>
        <w:tc>
          <w:tcPr>
            <w:tcW w:w="17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0.424</w:t>
            </w:r>
          </w:p>
        </w:tc>
      </w:tr>
      <w:tr>
        <w:trPr>
          <w:cantSplit/>
        </w:trPr>
        <w:tc>
          <w:tcPr>
            <w:tcW w:w="247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[25] </w:t>
            </w:r>
            <w:r>
              <w:rPr>
                <w:i/>
                <w:iCs/>
                <w:sz w:val="16"/>
                <w:szCs w:val="16"/>
              </w:rPr>
              <w:t xml:space="preserve">K</w:t>
            </w:r>
            <w:r>
              <w:rPr>
                <w:sz w:val="16"/>
                <w:szCs w:val="16"/>
                <w:vertAlign w:val="subscript"/>
              </w:rPr>
              <w:t xml:space="preserve">max</w:t>
            </w:r>
            <w:r>
              <w:rPr>
                <w:sz w:val="16"/>
                <w:szCs w:val="16"/>
              </w:rPr>
              <w:t xml:space="preserve"> (external validation)</w:t>
            </w:r>
          </w:p>
        </w:tc>
        <w:tc>
          <w:tcPr>
            <w:tcW w:w="17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0.408</w:t>
            </w:r>
          </w:p>
        </w:tc>
        <w:tc>
          <w:tcPr>
            <w:tcW w:w="18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w:t>
            </w:r>
          </w:p>
        </w:tc>
        <w:tc>
          <w:tcPr>
            <w:tcW w:w="14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0.358</w:t>
            </w:r>
          </w:p>
        </w:tc>
        <w:tc>
          <w:tcPr>
            <w:tcW w:w="17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w:t>
            </w:r>
          </w:p>
        </w:tc>
      </w:tr>
      <w:tr>
        <w:trPr>
          <w:cantSplit/>
        </w:trPr>
        <w:tc>
          <w:tcPr>
            <w:tcW w:w="247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[24] per pin (external validation)</w:t>
            </w:r>
          </w:p>
        </w:tc>
        <w:tc>
          <w:tcPr>
            <w:tcW w:w="17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0.407</w:t>
            </w:r>
          </w:p>
        </w:tc>
        <w:tc>
          <w:tcPr>
            <w:tcW w:w="18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w:t>
            </w:r>
          </w:p>
        </w:tc>
        <w:tc>
          <w:tcPr>
            <w:tcW w:w="14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w:t>
            </w:r>
          </w:p>
        </w:tc>
        <w:tc>
          <w:tcPr>
            <w:tcW w:w="17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0.391</w:t>
            </w:r>
          </w:p>
        </w:tc>
      </w:tr>
      <w:tr>
        <w:trPr>
          <w:cantSplit/>
        </w:trPr>
        <w:tc>
          <w:tcPr>
            <w:tcW w:w="2470" w:type="dxa"/>
            <w:tcBorders>
              <w:top w:val="nil"/>
              <w:left w:val="nil"/>
              <w:bottom w:val="single" w:sz="6" w:space="0" w:color="000000"/>
              <w:right w:val="nil"/>
            </w:tcBorders>
            <w:tcMar>
              <w:top w:w="30" w:type="dxa"/>
              <w:left w:w="60" w:type="dxa"/>
              <w:bottom w:w="30" w:type="dxa"/>
              <w:right w:w="60" w:type="dxa"/>
            </w:tcMar>
          </w:tcPr>
          <w:p>
            <w:pPr>
              <w:spacing w:before="0" w:after="0" w:line="240" w:lineRule="auto"/>
              <w:jc w:val="left"/>
            </w:pPr>
            <w:r>
              <w:rPr>
                <w:sz w:val="16"/>
                <w:szCs w:val="16"/>
              </w:rPr>
              <w:t xml:space="preserve">[24] </w:t>
            </w:r>
            <w:r>
              <w:rPr>
                <w:i/>
                <w:iCs/>
                <w:sz w:val="16"/>
                <w:szCs w:val="16"/>
              </w:rPr>
              <w:t xml:space="preserve">K</w:t>
            </w:r>
            <w:r>
              <w:rPr>
                <w:sz w:val="16"/>
                <w:szCs w:val="16"/>
                <w:vertAlign w:val="subscript"/>
              </w:rPr>
              <w:t xml:space="preserve">max</w:t>
            </w:r>
            <w:r>
              <w:rPr>
                <w:sz w:val="16"/>
                <w:szCs w:val="16"/>
              </w:rPr>
              <w:t xml:space="preserve"> (external validation)</w:t>
            </w:r>
          </w:p>
        </w:tc>
        <w:tc>
          <w:tcPr>
            <w:tcW w:w="1700" w:type="dxa"/>
            <w:tcBorders>
              <w:top w:val="nil"/>
              <w:left w:val="nil"/>
              <w:bottom w:val="single" w:sz="6" w:space="0" w:color="000000"/>
              <w:right w:val="nil"/>
            </w:tcBorders>
            <w:tcMar>
              <w:top w:w="30" w:type="dxa"/>
              <w:left w:w="60" w:type="dxa"/>
              <w:bottom w:w="30" w:type="dxa"/>
              <w:right w:w="60" w:type="dxa"/>
            </w:tcMar>
          </w:tcPr>
          <w:p>
            <w:pPr>
              <w:spacing w:before="0" w:after="0" w:line="240" w:lineRule="auto"/>
              <w:jc w:val="left"/>
            </w:pPr>
            <w:r>
              <w:rPr>
                <w:sz w:val="16"/>
                <w:szCs w:val="16"/>
              </w:rPr>
              <w:t xml:space="preserve">0.461</w:t>
            </w:r>
          </w:p>
        </w:tc>
        <w:tc>
          <w:tcPr>
            <w:tcW w:w="1800" w:type="dxa"/>
            <w:tcBorders>
              <w:top w:val="nil"/>
              <w:left w:val="nil"/>
              <w:bottom w:val="single" w:sz="6" w:space="0" w:color="000000"/>
              <w:right w:val="nil"/>
            </w:tcBorders>
            <w:tcMar>
              <w:top w:w="30" w:type="dxa"/>
              <w:left w:w="60" w:type="dxa"/>
              <w:bottom w:w="30" w:type="dxa"/>
              <w:right w:w="60" w:type="dxa"/>
            </w:tcMar>
          </w:tcPr>
          <w:p>
            <w:pPr>
              <w:spacing w:before="0" w:after="0" w:line="240" w:lineRule="auto"/>
              <w:jc w:val="left"/>
            </w:pPr>
            <w:r>
              <w:rPr>
                <w:sz w:val="16"/>
                <w:szCs w:val="16"/>
              </w:rPr>
              <w:t xml:space="preserve">–</w:t>
            </w:r>
          </w:p>
        </w:tc>
        <w:tc>
          <w:tcPr>
            <w:tcW w:w="1400" w:type="dxa"/>
            <w:tcBorders>
              <w:top w:val="nil"/>
              <w:left w:val="nil"/>
              <w:bottom w:val="single" w:sz="6" w:space="0" w:color="000000"/>
              <w:right w:val="nil"/>
            </w:tcBorders>
            <w:tcMar>
              <w:top w:w="30" w:type="dxa"/>
              <w:left w:w="60" w:type="dxa"/>
              <w:bottom w:w="30" w:type="dxa"/>
              <w:right w:w="60" w:type="dxa"/>
            </w:tcMar>
          </w:tcPr>
          <w:p>
            <w:pPr>
              <w:spacing w:before="0" w:after="0" w:line="240" w:lineRule="auto"/>
              <w:jc w:val="left"/>
            </w:pPr>
            <w:r>
              <w:rPr>
                <w:sz w:val="16"/>
                <w:szCs w:val="16"/>
              </w:rPr>
              <w:t xml:space="preserve">0.238</w:t>
            </w:r>
          </w:p>
        </w:tc>
        <w:tc>
          <w:tcPr>
            <w:tcW w:w="1700" w:type="dxa"/>
            <w:tcBorders>
              <w:top w:val="nil"/>
              <w:left w:val="nil"/>
              <w:bottom w:val="single" w:sz="6" w:space="0" w:color="000000"/>
              <w:right w:val="nil"/>
            </w:tcBorders>
            <w:tcMar>
              <w:top w:w="30" w:type="dxa"/>
              <w:left w:w="60" w:type="dxa"/>
              <w:bottom w:w="30" w:type="dxa"/>
              <w:right w:w="60" w:type="dxa"/>
            </w:tcMar>
          </w:tcPr>
          <w:p>
            <w:pPr>
              <w:spacing w:before="0" w:after="0" w:line="240" w:lineRule="auto"/>
              <w:jc w:val="left"/>
            </w:pPr>
            <w:r>
              <w:rPr>
                <w:sz w:val="16"/>
                <w:szCs w:val="16"/>
              </w:rPr>
              <w:t xml:space="preserve">–</w:t>
            </w:r>
          </w:p>
        </w:tc>
      </w:tr>
    </w:tbl>
    <w:p>
      <w:pPr>
        <w:spacing w:before="0" w:after="60" w:line="240" w:lineRule="auto"/>
        <w:jc w:val="both"/>
      </w:pPr>
    </w:p>
    <w:p>
      <w:pPr>
        <w:pStyle w:val="Balk2"/>
        <w:keepNext/>
        <w:spacing w:before="180" w:after="80"/>
      </w:pPr>
      <w:r>
        <w:t xml:space="preserve">4.6 Zero-Load Limit and Transmission-Error Evidence</w:t>
      </w:r>
    </w:p>
    <w:p>
      <w:pPr>
        <w:spacing w:before="0" w:after="120" w:line="264" w:lineRule="auto"/>
        <w:jc w:val="both"/>
      </w:pPr>
      <w:r>
        <w:t xml:space="preserve">In the unloaded contact-pattern experiments of [6], the elastic deflection is negligible and </w:t>
      </w:r>
      <w:r>
        <w:rPr>
          <w:i/>
          <w:iCs/>
        </w:rPr>
        <w:t xml:space="preserve">Π</w:t>
      </w:r>
      <w:r>
        <w:t xml:space="preserve"> is effectively infinite. The measured contact-area reductions for axial and radial offsets agreed with the geometric model of the same authors within 1.6 percentage points, and those for angular misalignments of 2.64° and 4.67° (23 and 41 times the largest slope in [4]) were about 6 percentage points smaller (Table 6). These data confirm the geometric limit but carry no information on the elastic redistribution described by </w:t>
      </w:r>
      <w:r>
        <w:rPr>
          <w:i/>
          <w:iCs/>
        </w:rPr>
        <w:t xml:space="preserve">Π</w:t>
      </w:r>
      <w:r>
        <w:t xml:space="preserve">.</w:t>
      </w:r>
    </w:p>
    <w:p>
      <w:pPr>
        <w:spacing w:before="0" w:after="120" w:line="264" w:lineRule="auto"/>
        <w:jc w:val="both"/>
      </w:pPr>
      <w:r>
        <w:t xml:space="preserve">For transmission error, misalignment introduced through an eccentric sleeve raised the first mesh harmonic of the dynamic transmission error of a spur pair with 53 µm lead crown at 30 N·m from about 0.6 × </w:t>
      </w:r>
      <w:r>
        <w:t xml:space="preserve">10</w:t>
      </w:r>
      <w:r>
        <w:rPr>
          <w:vertAlign w:val="superscript"/>
        </w:rPr>
        <w:t xml:space="preserve">−5</w:t>
      </w:r>
      <w:r>
        <w:t xml:space="preserve"> to 1.9 × </w:t>
      </w:r>
      <w:r>
        <w:t xml:space="preserve">10</w:t>
      </w:r>
      <w:r>
        <w:rPr>
          <w:vertAlign w:val="superscript"/>
        </w:rPr>
        <w:t xml:space="preserve">−5</w:t>
      </w:r>
      <w:r>
        <w:t xml:space="preserve"> rad at 50 </w:t>
      </w:r>
      <w:r>
        <w:t xml:space="preserve">min</w:t>
      </w:r>
      <w:r>
        <w:rPr>
          <w:vertAlign w:val="superscript"/>
        </w:rPr>
        <w:t xml:space="preserve">−1</w:t>
      </w:r>
      <w:r>
        <w:t xml:space="preserve"> and from 0.2 × </w:t>
      </w:r>
      <w:r>
        <w:t xml:space="preserve">10</w:t>
      </w:r>
      <w:r>
        <w:rPr>
          <w:vertAlign w:val="superscript"/>
        </w:rPr>
        <w:t xml:space="preserve">−5</w:t>
      </w:r>
      <w:r>
        <w:t xml:space="preserve"> to 1.5 × </w:t>
      </w:r>
      <w:r>
        <w:t xml:space="preserve">10</w:t>
      </w:r>
      <w:r>
        <w:rPr>
          <w:vertAlign w:val="superscript"/>
        </w:rPr>
        <w:t xml:space="preserve">−5</w:t>
      </w:r>
      <w:r>
        <w:t xml:space="preserve"> rad at 1200 </w:t>
      </w:r>
      <w:r>
        <w:t xml:space="preserve">min</w:t>
      </w:r>
      <w:r>
        <w:rPr>
          <w:vertAlign w:val="superscript"/>
        </w:rPr>
        <w:t xml:space="preserve">−1</w:t>
      </w:r>
      <w:r>
        <w:t xml:space="preserve"> [30] (values read from the published figures). The direction agrees with the loss of effective face width predicted by Eqs. (2)–(4), but the misalignment magnitude was not reported and the load was light, so tooth impacts across the backlash contribute strongly to the signal [30]. Finite-element results indicate that assembly errors increase transmission error without changing its waveform [7], but they cannot serve as validation. With one source and no quantified misalignment, H7 cannot be tested.</w:t>
      </w:r>
    </w:p>
    <w:p>
      <w:pPr>
        <w:keepNext/>
        <w:spacing w:before="200" w:after="80" w:line="240" w:lineRule="auto"/>
        <w:jc w:val="both"/>
      </w:pPr>
      <w:r>
        <w:rPr>
          <w:b/>
          <w:bCs/>
          <w:sz w:val="20"/>
          <w:szCs w:val="20"/>
        </w:rPr>
        <w:t xml:space="preserve">Table 6</w:t>
      </w:r>
      <w:r>
        <w:rPr>
          <w:sz w:val="20"/>
          <w:szCs w:val="20"/>
        </w:rPr>
        <w:t xml:space="preserve"> </w:t>
      </w:r>
      <w:r>
        <w:rPr>
          <w:sz w:val="20"/>
          <w:szCs w:val="20"/>
        </w:rPr>
        <w:t xml:space="preserve">Zero-load limit and transmission-error evidence. TE = transmission error; n.r. = not reported</w:t>
      </w:r>
    </w:p>
    <w:tbl>
      <w:tblPr>
        <w:tblW w:w="9070" w:type="dxa"/>
        <w:tblLayout w:type="fixed"/>
        <w:tblCellMar>
          <w:left w:w="60" w:type="dxa"/>
          <w:right w:w="60" w:type="dxa"/>
        </w:tblCellMar>
        <w:tblLook w:val="04A0" w:firstRow="1" w:lastRow="0" w:firstColumn="1" w:lastColumn="0" w:noHBand="0" w:noVBand="1"/>
      </w:tblPr>
      <w:tblGrid>
        <w:gridCol w:w="900"/>
        <w:gridCol w:w="1900"/>
        <w:gridCol w:w="2250"/>
        <w:gridCol w:w="1750"/>
        <w:gridCol w:w="2270"/>
      </w:tblGrid>
      <w:tr>
        <w:trPr>
          <w:cantSplit/>
          <w:tblHeader/>
        </w:trPr>
        <w:tc>
          <w:tcPr>
            <w:tcW w:w="900" w:type="dxa"/>
            <w:tcBorders>
              <w:top w:val="single" w:sz="6" w:space="0" w:color="000000"/>
              <w:left w:val="nil"/>
              <w:bottom w:val="single" w:sz="6" w:space="0" w:color="000000"/>
              <w:right w:val="nil"/>
            </w:tcBorders>
            <w:tcMar>
              <w:top w:w="30" w:type="dxa"/>
              <w:left w:w="60" w:type="dxa"/>
              <w:bottom w:w="30" w:type="dxa"/>
              <w:right w:w="60" w:type="dxa"/>
            </w:tcMar>
          </w:tcPr>
          <w:p>
            <w:pPr>
              <w:spacing w:before="0" w:after="0" w:line="240" w:lineRule="auto"/>
              <w:jc w:val="left"/>
            </w:pPr>
            <w:r>
              <w:rPr>
                <w:b/>
                <w:bCs/>
                <w:sz w:val="16"/>
                <w:szCs w:val="16"/>
              </w:rPr>
              <w:t xml:space="preserve">Source</w:t>
            </w:r>
          </w:p>
        </w:tc>
        <w:tc>
          <w:tcPr>
            <w:tcW w:w="1900" w:type="dxa"/>
            <w:tcBorders>
              <w:top w:val="single" w:sz="6" w:space="0" w:color="000000"/>
              <w:left w:val="nil"/>
              <w:bottom w:val="single" w:sz="6" w:space="0" w:color="000000"/>
              <w:right w:val="nil"/>
            </w:tcBorders>
            <w:tcMar>
              <w:top w:w="30" w:type="dxa"/>
              <w:left w:w="60" w:type="dxa"/>
              <w:bottom w:w="30" w:type="dxa"/>
              <w:right w:w="60" w:type="dxa"/>
            </w:tcMar>
          </w:tcPr>
          <w:p>
            <w:pPr>
              <w:spacing w:before="0" w:after="0" w:line="240" w:lineRule="auto"/>
              <w:jc w:val="left"/>
            </w:pPr>
            <w:r>
              <w:rPr>
                <w:b/>
                <w:bCs/>
                <w:sz w:val="16"/>
                <w:szCs w:val="16"/>
              </w:rPr>
              <w:t xml:space="preserve">Misalignment</w:t>
            </w:r>
          </w:p>
        </w:tc>
        <w:tc>
          <w:tcPr>
            <w:tcW w:w="2250" w:type="dxa"/>
            <w:tcBorders>
              <w:top w:val="single" w:sz="6" w:space="0" w:color="000000"/>
              <w:left w:val="nil"/>
              <w:bottom w:val="single" w:sz="6" w:space="0" w:color="000000"/>
              <w:right w:val="nil"/>
            </w:tcBorders>
            <w:tcMar>
              <w:top w:w="30" w:type="dxa"/>
              <w:left w:w="60" w:type="dxa"/>
              <w:bottom w:w="30" w:type="dxa"/>
              <w:right w:w="60" w:type="dxa"/>
            </w:tcMar>
          </w:tcPr>
          <w:p>
            <w:pPr>
              <w:spacing w:before="0" w:after="0" w:line="240" w:lineRule="auto"/>
              <w:jc w:val="left"/>
            </w:pPr>
            <w:r>
              <w:rPr>
                <w:b/>
                <w:bCs/>
                <w:sz w:val="16"/>
                <w:szCs w:val="16"/>
              </w:rPr>
              <w:t xml:space="preserve">Measured response</w:t>
            </w:r>
          </w:p>
        </w:tc>
        <w:tc>
          <w:tcPr>
            <w:tcW w:w="1750" w:type="dxa"/>
            <w:tcBorders>
              <w:top w:val="single" w:sz="6" w:space="0" w:color="000000"/>
              <w:left w:val="nil"/>
              <w:bottom w:val="single" w:sz="6" w:space="0" w:color="000000"/>
              <w:right w:val="nil"/>
            </w:tcBorders>
            <w:tcMar>
              <w:top w:w="30" w:type="dxa"/>
              <w:left w:w="60" w:type="dxa"/>
              <w:bottom w:w="30" w:type="dxa"/>
              <w:right w:w="60" w:type="dxa"/>
            </w:tcMar>
          </w:tcPr>
          <w:p>
            <w:pPr>
              <w:spacing w:before="0" w:after="0" w:line="240" w:lineRule="auto"/>
              <w:jc w:val="left"/>
            </w:pPr>
            <w:r>
              <w:rPr>
                <w:b/>
                <w:bCs/>
                <w:sz w:val="16"/>
                <w:szCs w:val="16"/>
              </w:rPr>
              <w:t xml:space="preserve">Reference model</w:t>
            </w:r>
          </w:p>
        </w:tc>
        <w:tc>
          <w:tcPr>
            <w:tcW w:w="2270" w:type="dxa"/>
            <w:tcBorders>
              <w:top w:val="single" w:sz="6" w:space="0" w:color="000000"/>
              <w:left w:val="nil"/>
              <w:bottom w:val="single" w:sz="6" w:space="0" w:color="000000"/>
              <w:right w:val="nil"/>
            </w:tcBorders>
            <w:tcMar>
              <w:top w:w="30" w:type="dxa"/>
              <w:left w:w="60" w:type="dxa"/>
              <w:bottom w:w="30" w:type="dxa"/>
              <w:right w:w="60" w:type="dxa"/>
            </w:tcMar>
          </w:tcPr>
          <w:p>
            <w:pPr>
              <w:spacing w:before="0" w:after="0" w:line="240" w:lineRule="auto"/>
              <w:jc w:val="left"/>
            </w:pPr>
            <w:r>
              <w:rPr>
                <w:b/>
                <w:bCs/>
                <w:sz w:val="16"/>
                <w:szCs w:val="16"/>
              </w:rPr>
              <w:t xml:space="preserve">Use in this study</w:t>
            </w:r>
          </w:p>
        </w:tc>
      </w:tr>
      <w:tr>
        <w:trPr>
          <w:cantSplit/>
        </w:trPr>
        <w:tc>
          <w:tcPr>
            <w:tcW w:w="9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[6]</w:t>
            </w:r>
          </w:p>
        </w:tc>
        <w:tc>
          <w:tcPr>
            <w:tcW w:w="19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Axial 6 mm</w:t>
            </w:r>
          </w:p>
        </w:tc>
        <w:tc>
          <w:tcPr>
            <w:tcW w:w="225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Contact area −28.4%</w:t>
            </w:r>
          </w:p>
        </w:tc>
        <w:tc>
          <w:tcPr>
            <w:tcW w:w="175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Geometric: −30.0%</w:t>
            </w:r>
          </w:p>
        </w:tc>
        <w:tc>
          <w:tcPr>
            <w:tcW w:w="227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Zero-load limit</w:t>
            </w:r>
          </w:p>
        </w:tc>
      </w:tr>
      <w:tr>
        <w:trPr>
          <w:cantSplit/>
        </w:trPr>
        <w:tc>
          <w:tcPr>
            <w:tcW w:w="9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[6]</w:t>
            </w:r>
          </w:p>
        </w:tc>
        <w:tc>
          <w:tcPr>
            <w:tcW w:w="19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Radial 1 mm; 2 mm</w:t>
            </w:r>
          </w:p>
        </w:tc>
        <w:tc>
          <w:tcPr>
            <w:tcW w:w="225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−17.7%; −32.3%</w:t>
            </w:r>
          </w:p>
        </w:tc>
        <w:tc>
          <w:tcPr>
            <w:tcW w:w="175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−16.7%; −33.3%</w:t>
            </w:r>
          </w:p>
        </w:tc>
        <w:tc>
          <w:tcPr>
            <w:tcW w:w="227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Zero-load limit</w:t>
            </w:r>
          </w:p>
        </w:tc>
      </w:tr>
      <w:tr>
        <w:trPr>
          <w:cantSplit/>
        </w:trPr>
        <w:tc>
          <w:tcPr>
            <w:tcW w:w="9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[6]</w:t>
            </w:r>
          </w:p>
        </w:tc>
        <w:tc>
          <w:tcPr>
            <w:tcW w:w="19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Angular 2.64°; 4.67°</w:t>
            </w:r>
          </w:p>
        </w:tc>
        <w:tc>
          <w:tcPr>
            <w:tcW w:w="225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−14.0%; −37.5%</w:t>
            </w:r>
          </w:p>
        </w:tc>
        <w:tc>
          <w:tcPr>
            <w:tcW w:w="175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−20.3%; −43.5%</w:t>
            </w:r>
          </w:p>
        </w:tc>
        <w:tc>
          <w:tcPr>
            <w:tcW w:w="227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Zero-load limit</w:t>
            </w:r>
          </w:p>
        </w:tc>
      </w:tr>
      <w:tr>
        <w:trPr>
          <w:cantSplit/>
        </w:trPr>
        <w:tc>
          <w:tcPr>
            <w:tcW w:w="900" w:type="dxa"/>
            <w:tcBorders>
              <w:top w:val="nil"/>
              <w:left w:val="nil"/>
              <w:bottom w:val="single" w:sz="6" w:space="0" w:color="000000"/>
              <w:right w:val="nil"/>
            </w:tcBorders>
            <w:tcMar>
              <w:top w:w="30" w:type="dxa"/>
              <w:left w:w="60" w:type="dxa"/>
              <w:bottom w:w="30" w:type="dxa"/>
              <w:right w:w="60" w:type="dxa"/>
            </w:tcMar>
          </w:tcPr>
          <w:p>
            <w:pPr>
              <w:spacing w:before="0" w:after="0" w:line="240" w:lineRule="auto"/>
              <w:jc w:val="left"/>
            </w:pPr>
            <w:r>
              <w:rPr>
                <w:sz w:val="16"/>
                <w:szCs w:val="16"/>
              </w:rPr>
              <w:t xml:space="preserve">[30]</w:t>
            </w:r>
          </w:p>
        </w:tc>
        <w:tc>
          <w:tcPr>
            <w:tcW w:w="1900" w:type="dxa"/>
            <w:tcBorders>
              <w:top w:val="nil"/>
              <w:left w:val="nil"/>
              <w:bottom w:val="single" w:sz="6" w:space="0" w:color="000000"/>
              <w:right w:val="nil"/>
            </w:tcBorders>
            <w:tcMar>
              <w:top w:w="30" w:type="dxa"/>
              <w:left w:w="60" w:type="dxa"/>
              <w:bottom w:w="30" w:type="dxa"/>
              <w:right w:w="60" w:type="dxa"/>
            </w:tcMar>
          </w:tcPr>
          <w:p>
            <w:pPr>
              <w:spacing w:before="0" w:after="0" w:line="240" w:lineRule="auto"/>
              <w:jc w:val="left"/>
            </w:pPr>
            <w:r>
              <w:rPr>
                <w:sz w:val="16"/>
                <w:szCs w:val="16"/>
              </w:rPr>
              <w:t xml:space="preserve">Eccentric sleeve, value n.r.</w:t>
            </w:r>
          </w:p>
        </w:tc>
        <w:tc>
          <w:tcPr>
            <w:tcW w:w="2250" w:type="dxa"/>
            <w:tcBorders>
              <w:top w:val="nil"/>
              <w:left w:val="nil"/>
              <w:bottom w:val="single" w:sz="6" w:space="0" w:color="000000"/>
              <w:right w:val="nil"/>
            </w:tcBorders>
            <w:tcMar>
              <w:top w:w="30" w:type="dxa"/>
              <w:left w:w="60" w:type="dxa"/>
              <w:bottom w:w="30" w:type="dxa"/>
              <w:right w:w="60" w:type="dxa"/>
            </w:tcMar>
          </w:tcPr>
          <w:p>
            <w:pPr>
              <w:spacing w:before="0" w:after="0" w:line="240" w:lineRule="auto"/>
              <w:jc w:val="left"/>
            </w:pPr>
            <w:r>
              <w:rPr>
                <w:sz w:val="16"/>
                <w:szCs w:val="16"/>
              </w:rPr>
              <w:t xml:space="preserve">First TE harmonic ×3.2 (50 </w:t>
            </w:r>
            <w:r>
              <w:rPr>
                <w:sz w:val="16"/>
                <w:szCs w:val="16"/>
              </w:rPr>
              <w:t xml:space="preserve">min</w:t>
            </w:r>
            <w:r>
              <w:rPr>
                <w:sz w:val="16"/>
                <w:szCs w:val="16"/>
                <w:vertAlign w:val="superscript"/>
              </w:rPr>
              <w:t xml:space="preserve">−1</w:t>
            </w:r>
            <w:r>
              <w:rPr>
                <w:sz w:val="16"/>
                <w:szCs w:val="16"/>
              </w:rPr>
              <w:t xml:space="preserve">), ×7.5 (1200 </w:t>
            </w:r>
            <w:r>
              <w:rPr>
                <w:sz w:val="16"/>
                <w:szCs w:val="16"/>
              </w:rPr>
              <w:t xml:space="preserve">min</w:t>
            </w:r>
            <w:r>
              <w:rPr>
                <w:sz w:val="16"/>
                <w:szCs w:val="16"/>
                <w:vertAlign w:val="superscript"/>
              </w:rPr>
              <w:t xml:space="preserve">−1</w:t>
            </w:r>
            <w:r>
              <w:rPr>
                <w:sz w:val="16"/>
                <w:szCs w:val="16"/>
              </w:rPr>
              <w:t xml:space="preserve">), 30 N·m</w:t>
            </w:r>
          </w:p>
        </w:tc>
        <w:tc>
          <w:tcPr>
            <w:tcW w:w="1750" w:type="dxa"/>
            <w:tcBorders>
              <w:top w:val="nil"/>
              <w:left w:val="nil"/>
              <w:bottom w:val="single" w:sz="6" w:space="0" w:color="000000"/>
              <w:right w:val="nil"/>
            </w:tcBorders>
            <w:tcMar>
              <w:top w:w="30" w:type="dxa"/>
              <w:left w:w="60" w:type="dxa"/>
              <w:bottom w:w="30" w:type="dxa"/>
              <w:right w:w="60" w:type="dxa"/>
            </w:tcMar>
          </w:tcPr>
          <w:p>
            <w:pPr>
              <w:spacing w:before="0" w:after="0" w:line="240" w:lineRule="auto"/>
              <w:jc w:val="left"/>
            </w:pPr>
            <w:r>
              <w:rPr>
                <w:sz w:val="16"/>
                <w:szCs w:val="16"/>
              </w:rPr>
              <w:t xml:space="preserve">None (experimental)</w:t>
            </w:r>
          </w:p>
        </w:tc>
        <w:tc>
          <w:tcPr>
            <w:tcW w:w="2270" w:type="dxa"/>
            <w:tcBorders>
              <w:top w:val="nil"/>
              <w:left w:val="nil"/>
              <w:bottom w:val="single" w:sz="6" w:space="0" w:color="000000"/>
              <w:right w:val="nil"/>
            </w:tcBorders>
            <w:tcMar>
              <w:top w:w="30" w:type="dxa"/>
              <w:left w:w="60" w:type="dxa"/>
              <w:bottom w:w="30" w:type="dxa"/>
              <w:right w:w="60" w:type="dxa"/>
            </w:tcMar>
          </w:tcPr>
          <w:p>
            <w:pPr>
              <w:spacing w:before="0" w:after="0" w:line="240" w:lineRule="auto"/>
              <w:jc w:val="left"/>
            </w:pPr>
            <w:r>
              <w:rPr>
                <w:sz w:val="16"/>
                <w:szCs w:val="16"/>
              </w:rPr>
              <w:t xml:space="preserve">Direction only; not testable on </w:t>
            </w:r>
            <w:r>
              <w:rPr>
                <w:i/>
                <w:iCs/>
                <w:sz w:val="16"/>
                <w:szCs w:val="16"/>
              </w:rPr>
              <w:t xml:space="preserve">Π</w:t>
            </w:r>
          </w:p>
        </w:tc>
      </w:tr>
    </w:tbl>
    <w:p>
      <w:pPr>
        <w:spacing w:before="0" w:after="60" w:line="240" w:lineRule="auto"/>
        <w:jc w:val="both"/>
      </w:pPr>
    </w:p>
    <w:p>
      <w:pPr>
        <w:pStyle w:val="Balk2"/>
        <w:keepNext/>
        <w:spacing w:before="180" w:after="80"/>
      </w:pPr>
      <w:r>
        <w:t xml:space="preserve">4.7 Uncertainty and Sensitivity</w:t>
      </w:r>
    </w:p>
    <w:p>
      <w:pPr>
        <w:spacing w:before="0" w:after="120" w:line="264" w:lineRule="auto"/>
        <w:jc w:val="both"/>
      </w:pPr>
      <w:r>
        <w:t xml:space="preserve">Table 7 summarises the parameter uncertainties and sensitivities. The helical result depends on the mesh deflection of 17 µm calculated in [4]: a 20% error changes </w:t>
      </w:r>
      <w:r>
        <w:rPr>
          <w:i/>
          <w:iCs/>
        </w:rPr>
        <w:t xml:space="preserve">κ</w:t>
      </w:r>
      <w:r>
        <w:t xml:space="preserve"> by the same fraction and moves its CI to 0.64–0.84 or 0.96–1.26. The generic ISO 6336-1 mesh stiffness would give </w:t>
      </w:r>
      <w:r>
        <w:rPr>
          <w:i/>
          <w:iCs/>
        </w:rPr>
        <w:t xml:space="preserve">δ</w:t>
      </w:r>
      <w:r>
        <w:rPr>
          <w:vertAlign w:val="subscript"/>
        </w:rPr>
        <w:t xml:space="preserve">m</w:t>
      </w:r>
      <w:r>
        <w:t xml:space="preserve"> ≈ 6.7 µm for this pair at 200 N·m (133 N/mm of tangential load at the reference diameter of 150 mm) and </w:t>
      </w:r>
      <w:r>
        <w:rPr>
          <w:i/>
          <w:iCs/>
        </w:rPr>
        <w:t xml:space="preserve">κ</w:t>
      </w:r>
      <w:r>
        <w:t xml:space="preserve"> ≈ 0.36. The stiffness calculated in [4] for this narrow, high-helix-angle pair, 169 N/µm or about 8.5 N/(mm·µm), is less than half the generic value, so </w:t>
      </w:r>
      <w:r>
        <w:rPr>
          <w:i/>
          <w:iCs/>
        </w:rPr>
        <w:t xml:space="preserve">Π</w:t>
      </w:r>
      <w:r>
        <w:t xml:space="preserve"> must be formed with a pair-specific mesh stiffness. The exponent </w:t>
      </w:r>
      <w:r>
        <w:rPr>
          <w:i/>
          <w:iCs/>
        </w:rPr>
        <w:t xml:space="preserve">m</w:t>
      </w:r>
      <w:r>
        <w:t xml:space="preserve"> is poorly constrained by three torque levels (0.2–0.7), but the rejection of </w:t>
      </w:r>
      <w:r>
        <w:rPr>
          <w:i/>
          <w:iCs/>
        </w:rPr>
        <w:t xml:space="preserve">m</w:t>
      </w:r>
      <w:r>
        <w:t xml:space="preserve"> = 1 rests on the fifteen series of Fig. 4.</w:t>
      </w:r>
    </w:p>
    <w:p>
      <w:pPr>
        <w:keepNext/>
        <w:spacing w:before="200" w:after="80" w:line="240" w:lineRule="auto"/>
        <w:jc w:val="both"/>
      </w:pPr>
      <w:r>
        <w:rPr>
          <w:b/>
          <w:bCs/>
          <w:sz w:val="20"/>
          <w:szCs w:val="20"/>
        </w:rPr>
        <w:t xml:space="preserve">Table 7</w:t>
      </w:r>
      <w:r>
        <w:rPr>
          <w:sz w:val="20"/>
          <w:szCs w:val="20"/>
        </w:rPr>
        <w:t xml:space="preserve"> </w:t>
      </w:r>
      <w:r>
        <w:rPr>
          <w:sz w:val="20"/>
          <w:szCs w:val="20"/>
        </w:rPr>
        <w:t xml:space="preserve">Parameter uncertainty and sensitivity</w:t>
      </w:r>
    </w:p>
    <w:tbl>
      <w:tblPr>
        <w:tblW w:w="9070" w:type="dxa"/>
        <w:tblLayout w:type="fixed"/>
        <w:tblCellMar>
          <w:left w:w="60" w:type="dxa"/>
          <w:right w:w="60" w:type="dxa"/>
        </w:tblCellMar>
        <w:tblLook w:val="04A0" w:firstRow="1" w:lastRow="0" w:firstColumn="1" w:lastColumn="0" w:noHBand="0" w:noVBand="1"/>
      </w:tblPr>
      <w:tblGrid>
        <w:gridCol w:w="2000"/>
        <w:gridCol w:w="1500"/>
        <w:gridCol w:w="3000"/>
        <w:gridCol w:w="2570"/>
      </w:tblGrid>
      <w:tr>
        <w:trPr>
          <w:cantSplit/>
          <w:tblHeader/>
        </w:trPr>
        <w:tc>
          <w:tcPr>
            <w:tcW w:w="2000" w:type="dxa"/>
            <w:tcBorders>
              <w:top w:val="single" w:sz="6" w:space="0" w:color="000000"/>
              <w:left w:val="nil"/>
              <w:bottom w:val="single" w:sz="6" w:space="0" w:color="000000"/>
              <w:right w:val="nil"/>
            </w:tcBorders>
            <w:tcMar>
              <w:top w:w="30" w:type="dxa"/>
              <w:left w:w="60" w:type="dxa"/>
              <w:bottom w:w="30" w:type="dxa"/>
              <w:right w:w="60" w:type="dxa"/>
            </w:tcMar>
          </w:tcPr>
          <w:p>
            <w:pPr>
              <w:spacing w:before="0" w:after="0" w:line="240" w:lineRule="auto"/>
              <w:jc w:val="left"/>
            </w:pPr>
            <w:r>
              <w:rPr>
                <w:b/>
                <w:bCs/>
                <w:sz w:val="16"/>
                <w:szCs w:val="16"/>
              </w:rPr>
              <w:t xml:space="preserve">Quantity</w:t>
            </w:r>
          </w:p>
        </w:tc>
        <w:tc>
          <w:tcPr>
            <w:tcW w:w="1500" w:type="dxa"/>
            <w:tcBorders>
              <w:top w:val="single" w:sz="6" w:space="0" w:color="000000"/>
              <w:left w:val="nil"/>
              <w:bottom w:val="single" w:sz="6" w:space="0" w:color="000000"/>
              <w:right w:val="nil"/>
            </w:tcBorders>
            <w:tcMar>
              <w:top w:w="30" w:type="dxa"/>
              <w:left w:w="60" w:type="dxa"/>
              <w:bottom w:w="30" w:type="dxa"/>
              <w:right w:w="60" w:type="dxa"/>
            </w:tcMar>
          </w:tcPr>
          <w:p>
            <w:pPr>
              <w:spacing w:before="0" w:after="0" w:line="240" w:lineRule="auto"/>
              <w:jc w:val="left"/>
            </w:pPr>
            <w:r>
              <w:rPr>
                <w:b/>
                <w:bCs/>
                <w:sz w:val="16"/>
                <w:szCs w:val="16"/>
              </w:rPr>
              <w:t xml:space="preserve">Estimate</w:t>
            </w:r>
          </w:p>
        </w:tc>
        <w:tc>
          <w:tcPr>
            <w:tcW w:w="3000" w:type="dxa"/>
            <w:tcBorders>
              <w:top w:val="single" w:sz="6" w:space="0" w:color="000000"/>
              <w:left w:val="nil"/>
              <w:bottom w:val="single" w:sz="6" w:space="0" w:color="000000"/>
              <w:right w:val="nil"/>
            </w:tcBorders>
            <w:tcMar>
              <w:top w:w="30" w:type="dxa"/>
              <w:left w:w="60" w:type="dxa"/>
              <w:bottom w:w="30" w:type="dxa"/>
              <w:right w:w="60" w:type="dxa"/>
            </w:tcMar>
          </w:tcPr>
          <w:p>
            <w:pPr>
              <w:spacing w:before="0" w:after="0" w:line="240" w:lineRule="auto"/>
              <w:jc w:val="left"/>
            </w:pPr>
            <w:r>
              <w:rPr>
                <w:b/>
                <w:bCs/>
                <w:sz w:val="16"/>
                <w:szCs w:val="16"/>
              </w:rPr>
              <w:t xml:space="preserve">Uncertainty or sensitivity</w:t>
            </w:r>
          </w:p>
        </w:tc>
        <w:tc>
          <w:tcPr>
            <w:tcW w:w="2570" w:type="dxa"/>
            <w:tcBorders>
              <w:top w:val="single" w:sz="6" w:space="0" w:color="000000"/>
              <w:left w:val="nil"/>
              <w:bottom w:val="single" w:sz="6" w:space="0" w:color="000000"/>
              <w:right w:val="nil"/>
            </w:tcBorders>
            <w:tcMar>
              <w:top w:w="30" w:type="dxa"/>
              <w:left w:w="60" w:type="dxa"/>
              <w:bottom w:w="30" w:type="dxa"/>
              <w:right w:w="60" w:type="dxa"/>
            </w:tcMar>
          </w:tcPr>
          <w:p>
            <w:pPr>
              <w:spacing w:before="0" w:after="0" w:line="240" w:lineRule="auto"/>
              <w:jc w:val="left"/>
            </w:pPr>
            <w:r>
              <w:rPr>
                <w:b/>
                <w:bCs/>
                <w:sz w:val="16"/>
                <w:szCs w:val="16"/>
              </w:rPr>
              <w:t xml:space="preserve">Effect on conclusion</w:t>
            </w:r>
          </w:p>
        </w:tc>
      </w:tr>
      <w:tr>
        <w:trPr>
          <w:cantSplit/>
        </w:trPr>
        <w:tc>
          <w:tcPr>
            <w:tcW w:w="2000" w:type="dxa"/>
            <w:tcBorders>
              <w:top w:val="nil"/>
              <w:left w:val="nil"/>
              <w:bottom w:val="nil"/>
              <w:right w:val="nil"/>
            </w:tcBorders>
            <w:tcMar>
              <w:top w:w="30" w:type="dxa"/>
              <w:left w:w="60" w:type="dxa"/>
              <w:bottom w:w="30" w:type="dxa"/>
              <w:right w:w="60" w:type="dxa"/>
            </w:tcMar>
          </w:tcPr>
          <w:p>
            <w:pPr>
              <w:spacing w:before="0" w:after="0" w:line="240" w:lineRule="auto"/>
              <w:jc w:val="left"/>
            </w:pPr>
            <w:r>
              <w:rPr>
                <w:i/>
                <w:iCs/>
                <w:sz w:val="16"/>
                <w:szCs w:val="16"/>
              </w:rPr>
              <w:t xml:space="preserve">κ</w:t>
            </w:r>
            <w:r>
              <w:rPr>
                <w:sz w:val="16"/>
                <w:szCs w:val="16"/>
              </w:rPr>
              <w:t xml:space="preserve"> (helical slope coefficient)</w:t>
            </w:r>
          </w:p>
        </w:tc>
        <w:tc>
          <w:tcPr>
            <w:tcW w:w="15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0.90</w:t>
            </w:r>
          </w:p>
        </w:tc>
        <w:tc>
          <w:tcPr>
            <w:tcW w:w="30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95% CI 0.80–1.05 (bootstrap, ±25 µε noise)</w:t>
            </w:r>
          </w:p>
        </w:tc>
        <w:tc>
          <w:tcPr>
            <w:tcW w:w="257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H1 supported; conditional on </w:t>
            </w:r>
            <w:r>
              <w:rPr>
                <w:i/>
                <w:iCs/>
                <w:sz w:val="16"/>
                <w:szCs w:val="16"/>
              </w:rPr>
              <w:t xml:space="preserve">δ</w:t>
            </w:r>
            <w:r>
              <w:rPr>
                <w:sz w:val="16"/>
                <w:szCs w:val="16"/>
                <w:vertAlign w:val="subscript"/>
              </w:rPr>
              <w:t xml:space="preserve">m</w:t>
            </w:r>
            <w:r>
              <w:rPr>
                <w:sz w:val="16"/>
                <w:szCs w:val="16"/>
              </w:rPr>
              <w:t xml:space="preserve"> = 17 µm</w:t>
            </w:r>
          </w:p>
        </w:tc>
      </w:tr>
      <w:tr>
        <w:trPr>
          <w:cantSplit/>
        </w:trPr>
        <w:tc>
          <w:tcPr>
            <w:tcW w:w="2000" w:type="dxa"/>
            <w:tcBorders>
              <w:top w:val="nil"/>
              <w:left w:val="nil"/>
              <w:bottom w:val="nil"/>
              <w:right w:val="nil"/>
            </w:tcBorders>
            <w:tcMar>
              <w:top w:w="30" w:type="dxa"/>
              <w:left w:w="60" w:type="dxa"/>
              <w:bottom w:w="30" w:type="dxa"/>
              <w:right w:w="60" w:type="dxa"/>
            </w:tcMar>
          </w:tcPr>
          <w:p>
            <w:pPr>
              <w:spacing w:before="0" w:after="0" w:line="240" w:lineRule="auto"/>
              <w:jc w:val="left"/>
            </w:pPr>
            <w:r>
              <w:rPr>
                <w:i/>
                <w:iCs/>
                <w:sz w:val="16"/>
                <w:szCs w:val="16"/>
              </w:rPr>
              <w:t xml:space="preserve">δ</w:t>
            </w:r>
            <w:r>
              <w:rPr>
                <w:sz w:val="16"/>
                <w:szCs w:val="16"/>
                <w:vertAlign w:val="subscript"/>
              </w:rPr>
              <w:t xml:space="preserve">m</w:t>
            </w:r>
            <w:r>
              <w:rPr>
                <w:sz w:val="16"/>
                <w:szCs w:val="16"/>
              </w:rPr>
              <w:t xml:space="preserve"> (helical mesh deflection)</w:t>
            </w:r>
          </w:p>
        </w:tc>
        <w:tc>
          <w:tcPr>
            <w:tcW w:w="15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17 µm (calculated in [4])</w:t>
            </w:r>
          </w:p>
        </w:tc>
        <w:tc>
          <w:tcPr>
            <w:tcW w:w="30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±20%: CI of </w:t>
            </w:r>
            <w:r>
              <w:rPr>
                <w:i/>
                <w:iCs/>
                <w:sz w:val="16"/>
                <w:szCs w:val="16"/>
              </w:rPr>
              <w:t xml:space="preserve">κ</w:t>
            </w:r>
            <w:r>
              <w:rPr>
                <w:sz w:val="16"/>
                <w:szCs w:val="16"/>
              </w:rPr>
              <w:t xml:space="preserve"> 0.64–0.84 or 0.96–1.26; generic ISO stiffness (6.7 µm): </w:t>
            </w:r>
            <w:r>
              <w:rPr>
                <w:i/>
                <w:iCs/>
                <w:sz w:val="16"/>
                <w:szCs w:val="16"/>
              </w:rPr>
              <w:t xml:space="preserve">κ</w:t>
            </w:r>
            <w:r>
              <w:rPr>
                <w:sz w:val="16"/>
                <w:szCs w:val="16"/>
              </w:rPr>
              <w:t xml:space="preserve"> ≈ 0.36</w:t>
            </w:r>
          </w:p>
        </w:tc>
        <w:tc>
          <w:tcPr>
            <w:tcW w:w="2570" w:type="dxa"/>
            <w:tcBorders>
              <w:top w:val="nil"/>
              <w:left w:val="nil"/>
              <w:bottom w:val="nil"/>
              <w:right w:val="nil"/>
            </w:tcBorders>
            <w:tcMar>
              <w:top w:w="30" w:type="dxa"/>
              <w:left w:w="60" w:type="dxa"/>
              <w:bottom w:w="30" w:type="dxa"/>
              <w:right w:w="60" w:type="dxa"/>
            </w:tcMar>
          </w:tcPr>
          <w:p>
            <w:pPr>
              <w:spacing w:before="0" w:after="0" w:line="240" w:lineRule="auto"/>
              <w:jc w:val="left"/>
            </w:pPr>
            <w:r>
              <w:rPr>
                <w:i/>
                <w:iCs/>
                <w:sz w:val="16"/>
                <w:szCs w:val="16"/>
              </w:rPr>
              <w:t xml:space="preserve">Π</w:t>
            </w:r>
            <w:r>
              <w:rPr>
                <w:sz w:val="16"/>
                <w:szCs w:val="16"/>
              </w:rPr>
              <w:t xml:space="preserve"> must be formed with a pair-specific mesh stiffness</w:t>
            </w:r>
          </w:p>
        </w:tc>
      </w:tr>
      <w:tr>
        <w:trPr>
          <w:cantSplit/>
        </w:trPr>
        <w:tc>
          <w:tcPr>
            <w:tcW w:w="2000" w:type="dxa"/>
            <w:tcBorders>
              <w:top w:val="nil"/>
              <w:left w:val="nil"/>
              <w:bottom w:val="nil"/>
              <w:right w:val="nil"/>
            </w:tcBorders>
            <w:tcMar>
              <w:top w:w="30" w:type="dxa"/>
              <w:left w:w="60" w:type="dxa"/>
              <w:bottom w:w="30" w:type="dxa"/>
              <w:right w:w="60" w:type="dxa"/>
            </w:tcMar>
          </w:tcPr>
          <w:p>
            <w:pPr>
              <w:spacing w:before="0" w:after="0" w:line="240" w:lineRule="auto"/>
              <w:jc w:val="left"/>
            </w:pPr>
            <w:r>
              <w:rPr>
                <w:i/>
                <w:iCs/>
                <w:sz w:val="16"/>
                <w:szCs w:val="16"/>
              </w:rPr>
              <w:t xml:space="preserve">h</w:t>
            </w:r>
            <w:r>
              <w:rPr>
                <w:sz w:val="16"/>
                <w:szCs w:val="16"/>
                <w:vertAlign w:val="subscript"/>
              </w:rPr>
              <w:t xml:space="preserve">0</w:t>
            </w:r>
            <w:r>
              <w:rPr>
                <w:sz w:val="16"/>
                <w:szCs w:val="16"/>
              </w:rPr>
              <w:t xml:space="preserve"> (residual misalignment)</w:t>
            </w:r>
          </w:p>
        </w:tc>
        <w:tc>
          <w:tcPr>
            <w:tcW w:w="15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−0.4 × </w:t>
            </w:r>
            <w:r>
              <w:rPr>
                <w:sz w:val="16"/>
                <w:szCs w:val="16"/>
              </w:rPr>
              <w:t xml:space="preserve">10</w:t>
            </w:r>
            <w:r>
              <w:rPr>
                <w:sz w:val="16"/>
                <w:szCs w:val="16"/>
                <w:vertAlign w:val="superscript"/>
              </w:rPr>
              <w:t xml:space="preserve">−3</w:t>
            </w:r>
            <w:r>
              <w:rPr>
                <w:sz w:val="16"/>
                <w:szCs w:val="16"/>
              </w:rPr>
              <w:t xml:space="preserve"> m/m</w:t>
            </w:r>
          </w:p>
        </w:tc>
        <w:tc>
          <w:tcPr>
            <w:tcW w:w="30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Grid resolution </w:t>
            </w:r>
            <w:r>
              <w:rPr>
                <w:sz w:val="16"/>
                <w:szCs w:val="16"/>
              </w:rPr>
              <w:t xml:space="preserve">10</w:t>
            </w:r>
            <w:r>
              <w:rPr>
                <w:sz w:val="16"/>
                <w:szCs w:val="16"/>
                <w:vertAlign w:val="superscript"/>
              </w:rPr>
              <w:t xml:space="preserve">−4</w:t>
            </w:r>
            <w:r>
              <w:rPr>
                <w:sz w:val="16"/>
                <w:szCs w:val="16"/>
              </w:rPr>
              <w:t xml:space="preserve"> m/m; </w:t>
            </w:r>
            <w:r>
              <w:rPr>
                <w:i/>
                <w:iCs/>
                <w:sz w:val="16"/>
                <w:szCs w:val="16"/>
              </w:rPr>
              <w:t xml:space="preserve">h</w:t>
            </w:r>
            <w:r>
              <w:rPr>
                <w:sz w:val="16"/>
                <w:szCs w:val="16"/>
              </w:rPr>
              <w:t xml:space="preserve"> = 0 case nearly uniform (</w:t>
            </w:r>
            <w:r>
              <w:rPr>
                <w:i/>
                <w:iCs/>
                <w:sz w:val="16"/>
                <w:szCs w:val="16"/>
              </w:rPr>
              <w:t xml:space="preserve">S</w:t>
            </w:r>
            <w:r>
              <w:rPr>
                <w:sz w:val="16"/>
                <w:szCs w:val="16"/>
              </w:rPr>
              <w:t xml:space="preserve"> = −0.09)</w:t>
            </w:r>
          </w:p>
        </w:tc>
        <w:tc>
          <w:tcPr>
            <w:tcW w:w="257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Effective parameter for the sign asymmetry (Table 4)</w:t>
            </w:r>
          </w:p>
        </w:tc>
      </w:tr>
      <w:tr>
        <w:trPr>
          <w:cantSplit/>
        </w:trPr>
        <w:tc>
          <w:tcPr>
            <w:tcW w:w="20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Crown definition</w:t>
            </w:r>
          </w:p>
        </w:tc>
        <w:tc>
          <w:tcPr>
            <w:tcW w:w="1500" w:type="dxa"/>
            <w:tcBorders>
              <w:top w:val="nil"/>
              <w:left w:val="nil"/>
              <w:bottom w:val="nil"/>
              <w:right w:val="nil"/>
            </w:tcBorders>
            <w:tcMar>
              <w:top w:w="30" w:type="dxa"/>
              <w:left w:w="60" w:type="dxa"/>
              <w:bottom w:w="30" w:type="dxa"/>
              <w:right w:w="60" w:type="dxa"/>
            </w:tcMar>
          </w:tcPr>
          <w:p>
            <w:pPr>
              <w:spacing w:before="0" w:after="0" w:line="240" w:lineRule="auto"/>
              <w:jc w:val="left"/>
            </w:pPr>
            <w:r>
              <w:rPr>
                <w:i/>
                <w:iCs/>
                <w:sz w:val="16"/>
                <w:szCs w:val="16"/>
              </w:rPr>
              <w:t xml:space="preserve">C</w:t>
            </w:r>
            <w:r>
              <w:rPr>
                <w:i/>
                <w:iCs/>
                <w:sz w:val="16"/>
                <w:szCs w:val="16"/>
                <w:vertAlign w:val="subscript"/>
              </w:rPr>
              <w:t xml:space="preserve">β</w:t>
            </w:r>
            <w:r>
              <w:rPr>
                <w:sz w:val="16"/>
                <w:szCs w:val="16"/>
              </w:rPr>
              <w:t xml:space="preserve"> = 25 µm per end</w:t>
            </w:r>
          </w:p>
        </w:tc>
        <w:tc>
          <w:tcPr>
            <w:tcW w:w="3000" w:type="dxa"/>
            <w:tcBorders>
              <w:top w:val="nil"/>
              <w:left w:val="nil"/>
              <w:bottom w:val="nil"/>
              <w:right w:val="nil"/>
            </w:tcBorders>
            <w:tcMar>
              <w:top w:w="30" w:type="dxa"/>
              <w:left w:w="60" w:type="dxa"/>
              <w:bottom w:w="30" w:type="dxa"/>
              <w:right w:w="60" w:type="dxa"/>
            </w:tcMar>
          </w:tcPr>
          <w:p>
            <w:pPr>
              <w:spacing w:before="0" w:after="0" w:line="240" w:lineRule="auto"/>
              <w:jc w:val="left"/>
            </w:pPr>
            <w:r>
              <w:rPr>
                <w:i/>
                <w:iCs/>
                <w:sz w:val="16"/>
                <w:szCs w:val="16"/>
              </w:rPr>
              <w:t xml:space="preserve">C</w:t>
            </w:r>
            <w:r>
              <w:rPr>
                <w:i/>
                <w:iCs/>
                <w:sz w:val="16"/>
                <w:szCs w:val="16"/>
                <w:vertAlign w:val="subscript"/>
              </w:rPr>
              <w:t xml:space="preserve">β</w:t>
            </w:r>
            <w:r>
              <w:rPr>
                <w:sz w:val="16"/>
                <w:szCs w:val="16"/>
              </w:rPr>
              <w:t xml:space="preserve"> = 12.5 µm raises RMSE from 0.148 to 0.223</w:t>
            </w:r>
          </w:p>
        </w:tc>
        <w:tc>
          <w:tcPr>
            <w:tcW w:w="257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Residuals not due to crown definition</w:t>
            </w:r>
          </w:p>
        </w:tc>
      </w:tr>
      <w:tr>
        <w:trPr>
          <w:cantSplit/>
        </w:trPr>
        <w:tc>
          <w:tcPr>
            <w:tcW w:w="2000" w:type="dxa"/>
            <w:tcBorders>
              <w:top w:val="nil"/>
              <w:left w:val="nil"/>
              <w:bottom w:val="nil"/>
              <w:right w:val="nil"/>
            </w:tcBorders>
            <w:tcMar>
              <w:top w:w="30" w:type="dxa"/>
              <w:left w:w="60" w:type="dxa"/>
              <w:bottom w:w="30" w:type="dxa"/>
              <w:right w:w="60" w:type="dxa"/>
            </w:tcMar>
          </w:tcPr>
          <w:p>
            <w:pPr>
              <w:spacing w:before="0" w:after="0" w:line="240" w:lineRule="auto"/>
              <w:jc w:val="left"/>
            </w:pPr>
            <w:r>
              <w:rPr>
                <w:i/>
                <w:iCs/>
                <w:sz w:val="16"/>
                <w:szCs w:val="16"/>
              </w:rPr>
              <w:t xml:space="preserve">δ</w:t>
            </w:r>
            <w:r>
              <w:rPr>
                <w:sz w:val="16"/>
                <w:szCs w:val="16"/>
                <w:vertAlign w:val="subscript"/>
              </w:rPr>
              <w:t xml:space="preserve">ref</w:t>
            </w:r>
            <w:r>
              <w:rPr>
                <w:sz w:val="16"/>
                <w:szCs w:val="16"/>
              </w:rPr>
              <w:t xml:space="preserve"> (six-planet, 1000 N·m)</w:t>
            </w:r>
          </w:p>
        </w:tc>
        <w:tc>
          <w:tcPr>
            <w:tcW w:w="15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42 µm</w:t>
            </w:r>
          </w:p>
        </w:tc>
        <w:tc>
          <w:tcPr>
            <w:tcW w:w="30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Range 40–44 µm (±0.01 noise)</w:t>
            </w:r>
          </w:p>
        </w:tc>
        <w:tc>
          <w:tcPr>
            <w:tcW w:w="2570" w:type="dxa"/>
            <w:tcBorders>
              <w:top w:val="nil"/>
              <w:left w:val="nil"/>
              <w:bottom w:val="nil"/>
              <w:right w:val="nil"/>
            </w:tcBorders>
            <w:tcMar>
              <w:top w:w="30" w:type="dxa"/>
              <w:left w:w="60" w:type="dxa"/>
              <w:bottom w:w="30" w:type="dxa"/>
              <w:right w:w="60" w:type="dxa"/>
            </w:tcMar>
          </w:tcPr>
          <w:p>
            <w:pPr>
              <w:spacing w:before="0" w:after="0" w:line="240" w:lineRule="auto"/>
              <w:jc w:val="left"/>
            </w:pPr>
            <w:r>
              <w:rPr>
                <w:i/>
                <w:iCs/>
                <w:sz w:val="16"/>
                <w:szCs w:val="16"/>
              </w:rPr>
              <w:t xml:space="preserve">η</w:t>
            </w:r>
            <w:r>
              <w:rPr>
                <w:sz w:val="16"/>
                <w:szCs w:val="16"/>
              </w:rPr>
              <w:t xml:space="preserve"> = 0.11–0.12</w:t>
            </w:r>
          </w:p>
        </w:tc>
      </w:tr>
      <w:tr>
        <w:trPr>
          <w:cantSplit/>
        </w:trPr>
        <w:tc>
          <w:tcPr>
            <w:tcW w:w="20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Planet support stiffness of the rig [15]</w:t>
            </w:r>
          </w:p>
        </w:tc>
        <w:tc>
          <w:tcPr>
            <w:tcW w:w="15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9 × </w:t>
            </w:r>
            <w:r>
              <w:rPr>
                <w:sz w:val="16"/>
                <w:szCs w:val="16"/>
              </w:rPr>
              <w:t xml:space="preserve">10</w:t>
            </w:r>
            <w:r>
              <w:rPr>
                <w:sz w:val="16"/>
                <w:szCs w:val="16"/>
                <w:vertAlign w:val="superscript"/>
              </w:rPr>
              <w:t xml:space="preserve">4</w:t>
            </w:r>
            <w:r>
              <w:rPr>
                <w:sz w:val="16"/>
                <w:szCs w:val="16"/>
              </w:rPr>
              <w:t xml:space="preserve"> N/mm</w:t>
            </w:r>
          </w:p>
        </w:tc>
        <w:tc>
          <w:tcPr>
            <w:tcW w:w="30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Planet-centre deflection about 55 µm at 1000 N·m, six planets</w:t>
            </w:r>
          </w:p>
        </w:tc>
        <w:tc>
          <w:tcPr>
            <w:tcW w:w="257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Same order as the calibrated 42 µm</w:t>
            </w:r>
          </w:p>
        </w:tc>
      </w:tr>
      <w:tr>
        <w:trPr>
          <w:cantSplit/>
        </w:trPr>
        <w:tc>
          <w:tcPr>
            <w:tcW w:w="2000" w:type="dxa"/>
            <w:tcBorders>
              <w:top w:val="nil"/>
              <w:left w:val="nil"/>
              <w:bottom w:val="nil"/>
              <w:right w:val="nil"/>
            </w:tcBorders>
            <w:tcMar>
              <w:top w:w="30" w:type="dxa"/>
              <w:left w:w="60" w:type="dxa"/>
              <w:bottom w:w="30" w:type="dxa"/>
              <w:right w:w="60" w:type="dxa"/>
            </w:tcMar>
          </w:tcPr>
          <w:p>
            <w:pPr>
              <w:spacing w:before="0" w:after="0" w:line="240" w:lineRule="auto"/>
              <w:jc w:val="left"/>
            </w:pPr>
            <w:r>
              <w:rPr>
                <w:i/>
                <w:iCs/>
                <w:sz w:val="16"/>
                <w:szCs w:val="16"/>
              </w:rPr>
              <w:t xml:space="preserve">m</w:t>
            </w:r>
            <w:r>
              <w:rPr>
                <w:sz w:val="16"/>
                <w:szCs w:val="16"/>
              </w:rPr>
              <w:t xml:space="preserve"> (load exponent)</w:t>
            </w:r>
          </w:p>
        </w:tc>
        <w:tc>
          <w:tcPr>
            <w:tcW w:w="15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0.5</w:t>
            </w:r>
          </w:p>
        </w:tc>
        <w:tc>
          <w:tcPr>
            <w:tcW w:w="30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Range 0.2–0.7</w:t>
            </w:r>
          </w:p>
        </w:tc>
        <w:tc>
          <w:tcPr>
            <w:tcW w:w="257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Pooled exponent of Fig. 4: 0.73 (0.64–0.83)</w:t>
            </w:r>
          </w:p>
        </w:tc>
      </w:tr>
      <w:tr>
        <w:trPr>
          <w:cantSplit/>
        </w:trPr>
        <w:tc>
          <w:tcPr>
            <w:tcW w:w="20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Digitisation</w:t>
            </w:r>
          </w:p>
        </w:tc>
        <w:tc>
          <w:tcPr>
            <w:tcW w:w="15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w:t>
            </w:r>
          </w:p>
        </w:tc>
        <w:tc>
          <w:tcPr>
            <w:tcW w:w="30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Six-planet check against table: ≤ 0.005</w:t>
            </w:r>
          </w:p>
        </w:tc>
        <w:tc>
          <w:tcPr>
            <w:tcW w:w="257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Negligible relative to model error</w:t>
            </w:r>
          </w:p>
        </w:tc>
      </w:tr>
      <w:tr>
        <w:trPr>
          <w:cantSplit/>
        </w:trPr>
        <w:tc>
          <w:tcPr>
            <w:tcW w:w="20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Direction mapping [25]</w:t>
            </w:r>
          </w:p>
        </w:tc>
        <w:tc>
          <w:tcPr>
            <w:tcW w:w="15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Better of two</w:t>
            </w:r>
          </w:p>
        </w:tc>
        <w:tc>
          <w:tcPr>
            <w:tcW w:w="300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Opposite mapping: RMSE 0.586</w:t>
            </w:r>
          </w:p>
        </w:tc>
        <w:tc>
          <w:tcPr>
            <w:tcW w:w="2570" w:type="dxa"/>
            <w:tcBorders>
              <w:top w:val="nil"/>
              <w:left w:val="nil"/>
              <w:bottom w:val="nil"/>
              <w:right w:val="nil"/>
            </w:tcBorders>
            <w:tcMar>
              <w:top w:w="30" w:type="dxa"/>
              <w:left w:w="60" w:type="dxa"/>
              <w:bottom w:w="30" w:type="dxa"/>
              <w:right w:w="60" w:type="dxa"/>
            </w:tcMar>
          </w:tcPr>
          <w:p>
            <w:pPr>
              <w:spacing w:before="0" w:after="0" w:line="240" w:lineRule="auto"/>
              <w:jc w:val="left"/>
            </w:pPr>
            <w:r>
              <w:rPr>
                <w:sz w:val="16"/>
                <w:szCs w:val="16"/>
              </w:rPr>
              <w:t xml:space="preserve">External transfer not supported in either case</w:t>
            </w:r>
          </w:p>
        </w:tc>
      </w:tr>
      <w:tr>
        <w:trPr>
          <w:cantSplit/>
        </w:trPr>
        <w:tc>
          <w:tcPr>
            <w:tcW w:w="2000" w:type="dxa"/>
            <w:tcBorders>
              <w:top w:val="nil"/>
              <w:left w:val="nil"/>
              <w:bottom w:val="single" w:sz="6" w:space="0" w:color="000000"/>
              <w:right w:val="nil"/>
            </w:tcBorders>
            <w:tcMar>
              <w:top w:w="30" w:type="dxa"/>
              <w:left w:w="60" w:type="dxa"/>
              <w:bottom w:w="30" w:type="dxa"/>
              <w:right w:w="60" w:type="dxa"/>
            </w:tcMar>
          </w:tcPr>
          <w:p>
            <w:pPr>
              <w:spacing w:before="0" w:after="0" w:line="240" w:lineRule="auto"/>
              <w:jc w:val="left"/>
            </w:pPr>
            <w:r>
              <w:rPr>
                <w:sz w:val="16"/>
                <w:szCs w:val="16"/>
              </w:rPr>
              <w:t xml:space="preserve">Sun support</w:t>
            </w:r>
          </w:p>
        </w:tc>
        <w:tc>
          <w:tcPr>
            <w:tcW w:w="1500" w:type="dxa"/>
            <w:tcBorders>
              <w:top w:val="nil"/>
              <w:left w:val="nil"/>
              <w:bottom w:val="single" w:sz="6" w:space="0" w:color="000000"/>
              <w:right w:val="nil"/>
            </w:tcBorders>
            <w:tcMar>
              <w:top w:w="30" w:type="dxa"/>
              <w:left w:w="60" w:type="dxa"/>
              <w:bottom w:w="30" w:type="dxa"/>
              <w:right w:w="60" w:type="dxa"/>
            </w:tcMar>
          </w:tcPr>
          <w:p>
            <w:pPr>
              <w:spacing w:before="0" w:after="0" w:line="240" w:lineRule="auto"/>
              <w:jc w:val="left"/>
            </w:pPr>
            <w:r>
              <w:rPr>
                <w:sz w:val="16"/>
                <w:szCs w:val="16"/>
              </w:rPr>
              <w:t xml:space="preserve">Floating</w:t>
            </w:r>
          </w:p>
        </w:tc>
        <w:tc>
          <w:tcPr>
            <w:tcW w:w="3000" w:type="dxa"/>
            <w:tcBorders>
              <w:top w:val="nil"/>
              <w:left w:val="nil"/>
              <w:bottom w:val="single" w:sz="6" w:space="0" w:color="000000"/>
              <w:right w:val="nil"/>
            </w:tcBorders>
            <w:tcMar>
              <w:top w:w="30" w:type="dxa"/>
              <w:left w:w="60" w:type="dxa"/>
              <w:bottom w:w="30" w:type="dxa"/>
              <w:right w:w="60" w:type="dxa"/>
            </w:tcMar>
          </w:tcPr>
          <w:p>
            <w:pPr>
              <w:spacing w:before="0" w:after="0" w:line="240" w:lineRule="auto"/>
              <w:jc w:val="left"/>
            </w:pPr>
            <w:r>
              <w:rPr>
                <w:sz w:val="16"/>
                <w:szCs w:val="16"/>
              </w:rPr>
              <w:t xml:space="preserve">Fixed sun: RMSE 0.82–1.16 (external data sets)</w:t>
            </w:r>
          </w:p>
        </w:tc>
        <w:tc>
          <w:tcPr>
            <w:tcW w:w="2570" w:type="dxa"/>
            <w:tcBorders>
              <w:top w:val="nil"/>
              <w:left w:val="nil"/>
              <w:bottom w:val="single" w:sz="6" w:space="0" w:color="000000"/>
              <w:right w:val="nil"/>
            </w:tcBorders>
            <w:tcMar>
              <w:top w:w="30" w:type="dxa"/>
              <w:left w:w="60" w:type="dxa"/>
              <w:bottom w:w="30" w:type="dxa"/>
              <w:right w:w="60" w:type="dxa"/>
            </w:tcMar>
          </w:tcPr>
          <w:p>
            <w:pPr>
              <w:spacing w:before="0" w:after="0" w:line="240" w:lineRule="auto"/>
              <w:jc w:val="left"/>
            </w:pPr>
            <w:r>
              <w:rPr>
                <w:sz w:val="16"/>
                <w:szCs w:val="16"/>
              </w:rPr>
              <w:t xml:space="preserve">Floating-sun model retained</w:t>
            </w:r>
          </w:p>
        </w:tc>
      </w:tr>
    </w:tbl>
    <w:p>
      <w:pPr>
        <w:spacing w:before="0" w:after="60" w:line="240" w:lineRule="auto"/>
        <w:jc w:val="both"/>
      </w:pPr>
    </w:p>
    <w:p>
      <w:pPr>
        <w:pStyle w:val="Balk1"/>
        <w:keepNext/>
        <w:spacing w:before="240" w:after="120"/>
      </w:pPr>
      <w:r>
        <w:t xml:space="preserve">5 Discussion</w:t>
      </w:r>
    </w:p>
    <w:p>
      <w:pPr>
        <w:pStyle w:val="Balk2"/>
        <w:keepNext/>
        <w:spacing w:before="180" w:after="80"/>
      </w:pPr>
      <w:r>
        <w:t xml:space="preserve">5.1 Physical Interpretation and Comparison with the Literature</w:t>
      </w:r>
    </w:p>
    <w:p>
      <w:pPr>
        <w:spacing w:before="0" w:after="120" w:line="264" w:lineRule="auto"/>
        <w:jc w:val="both"/>
      </w:pPr>
      <w:r>
        <w:t xml:space="preserve">The results support a restricted form of the hypothesis: within one rig and while every load path remains in contact, redistribution depends on misalignment through the ratio of geometric mismatch to elastic deflection, both across the face width and among the planets. The settings differ in the deflection that enters the ratio. In the helical pair, it was the mesh deflection itself, provided that it was calculated for the specific pair; the generic ISO stiffness would have overstated </w:t>
      </w:r>
      <w:r>
        <w:rPr>
          <w:i/>
          <w:iCs/>
        </w:rPr>
        <w:t xml:space="preserve">Π</w:t>
      </w:r>
      <w:r>
        <w:t xml:space="preserve"> by a factor of 2.5. In the planetary set, the planet-centre deflection was about 8.6 times the mesh-only value, about half of it from the planet bearing, and was consistent with the planet support stiffness identified independently for the same rig [15]. Support and component compliance therefore control planet-to-planet redistribution, as in models that include them [18, 19]. For six planets, the planetary relation, Eq. (8), and the linear branch of Method C, Eq. (4), have the same form.</w:t>
      </w:r>
    </w:p>
    <w:p>
      <w:pPr>
        <w:spacing w:before="0" w:after="120" w:line="264" w:lineRule="auto"/>
        <w:jc w:val="both"/>
      </w:pPr>
      <w:r>
        <w:t xml:space="preserve">Method C matched or exceeded the measured root-strain ratios once the residual misalignment was included, in agreement with the finite-element finding that the ISO 6336 methods overestimate the face load factor of helical gears in most cases [12]. The residuals of the crowned pair suggest that load spreading in the root, which slice models neglect, matters when lead modification moves the load towards the centre of the face width [11].</w:t>
      </w:r>
    </w:p>
    <w:p>
      <w:pPr>
        <w:spacing w:before="0" w:after="120" w:line="264" w:lineRule="auto"/>
        <w:jc w:val="both"/>
      </w:pPr>
      <w:r>
        <w:t xml:space="preserve">In planetary sets, the two modes coexist: planet tilting loads opposite face ends of the sun–planet and ring–planet meshes [19], and in a 2 MW wind-turbine stage with measured three-dimensional pinhole errors, the measured coefficient combining both distributions fell from about 2.0–2.25 at 25% to 1.45–1.6 at 100% of the rated torque for three and four planets [20]. Since a three-planet set with a floating member shares load equally regardless of tangential pinhole errors [15], this decrease must include face-width redistribution, which therefore also relaxes with load, as </w:t>
      </w:r>
      <w:r>
        <w:rPr>
          <w:i/>
          <w:iCs/>
        </w:rPr>
        <w:t xml:space="preserve">Π</w:t>
      </w:r>
      <w:r>
        <w:t xml:space="preserve"> implies.</w:t>
      </w:r>
    </w:p>
    <w:p>
      <w:pPr>
        <w:spacing w:before="0" w:after="120" w:line="264" w:lineRule="auto"/>
        <w:jc w:val="both"/>
      </w:pPr>
      <w:r>
        <w:t xml:space="preserve">Two findings bear on design practice. First, </w:t>
      </w:r>
      <w:r>
        <w:rPr>
          <w:i/>
          <w:iCs/>
        </w:rPr>
        <w:t xml:space="preserve">K</w:t>
      </w:r>
      <w:r>
        <w:rPr>
          <w:i/>
          <w:iCs/>
          <w:vertAlign w:val="subscript"/>
        </w:rPr>
        <w:t xml:space="preserve">γ</w:t>
      </w:r>
      <w:r>
        <w:t xml:space="preserve"> was not constant. In linear discrete models, the deviation of each planet load from its nominal share is proportional to the pinhole errors and inversely proportional to </w:t>
      </w:r>
      <w:r>
        <w:rPr>
          <w:i/>
          <w:iCs/>
        </w:rPr>
        <w:t xml:space="preserve">T</w:t>
      </w:r>
      <w:r>
        <w:rPr>
          <w:vertAlign w:val="subscript"/>
        </w:rPr>
        <w:t xml:space="preserve">s</w:t>
      </w:r>
      <w:r>
        <w:t xml:space="preserve"> [15], i.e. </w:t>
      </w:r>
      <w:r>
        <w:rPr>
          <w:i/>
          <w:iCs/>
        </w:rPr>
        <w:t xml:space="preserve">m</w:t>
      </w:r>
      <w:r>
        <w:t xml:space="preserve"> = 1 in Eq. (6); the measurements used here [23–25] instead gave exponents below 1 in fourteen of fifteen series from two laboratories (pooled 0.73). A constant factor such as 1.44 cannot represent this dependence: on the industrial gearbox, the measured peak factor ranged from 1.21 to 2.30 for the same hardware. Second, the path deflection was not proportional to load (</w:t>
      </w:r>
      <w:r>
        <w:rPr>
          <w:i/>
          <w:iCs/>
        </w:rPr>
        <w:t xml:space="preserve">m</w:t>
      </w:r>
      <w:r>
        <w:t xml:space="preserve"> ≈ 0.5–0.8), as expected if the path stiffens with load. Possible sources are the nonlinearity of the effective planet stiffness noted in [15], the load-dependent mesh stiffness of modified teeth [19], Hertzian contact and the take-up of bearing clearance; the present data do not separate them. In both settings, the linear relation fails once one face end or one planet is unloaded: the face load factor then grows with the square root of </w:t>
      </w:r>
      <w:r>
        <w:rPr>
          <w:i/>
          <w:iCs/>
        </w:rPr>
        <w:t xml:space="preserve">Π</w:t>
      </w:r>
      <w:r>
        <w:t xml:space="preserve">, whereas </w:t>
      </w:r>
      <w:r>
        <w:rPr>
          <w:i/>
          <w:iCs/>
        </w:rPr>
        <w:t xml:space="preserve">K</w:t>
      </w:r>
      <w:r>
        <w:rPr>
          <w:i/>
          <w:iCs/>
          <w:vertAlign w:val="subscript"/>
        </w:rPr>
        <w:t xml:space="preserve">γ</w:t>
      </w:r>
      <w:r>
        <w:t xml:space="preserve"> saturates; system-level simulations of the industrial gearbox show the same saturation [21].</w:t>
      </w:r>
    </w:p>
    <w:p>
      <w:pPr>
        <w:spacing w:before="0" w:after="120" w:line="264" w:lineRule="auto"/>
        <w:jc w:val="both"/>
      </w:pPr>
      <w:r>
        <w:t xml:space="preserve">For tolerance allocation, pinhole position errors and lead mismatches should therefore be judged relative to the effective path deflection at the design load rather than to the mesh deflection alone; the same error produces less relative redistribution at high torque and in a compliant load path.</w:t>
      </w:r>
    </w:p>
    <w:p>
      <w:pPr>
        <w:pStyle w:val="Balk2"/>
        <w:keepNext/>
        <w:spacing w:before="180" w:after="80"/>
      </w:pPr>
      <w:r>
        <w:t xml:space="preserve">5.2 Transfer to an Industrial Gearbox</w:t>
      </w:r>
    </w:p>
    <w:p>
      <w:pPr>
        <w:spacing w:before="0" w:after="120" w:line="264" w:lineRule="auto"/>
        <w:jc w:val="both"/>
      </w:pPr>
      <w:r>
        <w:t xml:space="preserve">For the external data set in which the transferred model failed (Section 4.5), a system-level model with carrier, pin, bearing and housing flexibilities reproduced the 100% torque load shares within 10% from the same errors [21]. The pinhole errors therefore explain the load pattern, but one spring per planet with </w:t>
      </w:r>
      <w:r>
        <w:rPr>
          <w:i/>
          <w:iCs/>
        </w:rPr>
        <w:t xml:space="preserve">η</w:t>
      </w:r>
      <w:r>
        <w:t xml:space="preserve"> transferred from a laboratory rig does not represent an industrial carrier, whose pinhole errors also differ between the front and rear plates by up to 33 µm [21], a three-dimensional error that affects load distribution [20]. </w:t>
      </w:r>
      <w:r>
        <w:rPr>
          <w:i/>
          <w:iCs/>
        </w:rPr>
        <w:t xml:space="preserve">η</w:t>
      </w:r>
      <w:r>
        <w:t xml:space="preserve"> must be determined for each design, for example with system-level or three-dimensional models [18–21]; a coefficient that transfers across architectures is not supported.</w:t>
      </w:r>
    </w:p>
    <w:p>
      <w:pPr>
        <w:pStyle w:val="Balk2"/>
        <w:keepNext/>
        <w:spacing w:before="180" w:after="80"/>
      </w:pPr>
      <w:r>
        <w:t xml:space="preserve">5.3 Limitations and Future Work</w:t>
      </w:r>
    </w:p>
    <w:p>
      <w:pPr>
        <w:spacing w:before="0" w:after="120" w:line="264" w:lineRule="auto"/>
        <w:jc w:val="both"/>
      </w:pPr>
      <w:r>
        <w:t xml:space="preserve">Testing a misalignment–transmission-error relation requires experiments that report the misalignment magnitude, the mesh or path deflection and the transmission error together at more than one torque; the data reviewed here contain at most two of the three. A suitable experiment would combine controlled eccentric bearing caps as in [4], encoder-based measurement [28, 30] and a torque sweep, so that </w:t>
      </w:r>
      <w:r>
        <w:rPr>
          <w:i/>
          <w:iCs/>
        </w:rPr>
        <w:t xml:space="preserve">Π</w:t>
      </w:r>
      <w:r>
        <w:t xml:space="preserve"> can be varied independently through the misalignment and through the load; planetary models validated for transmission error and load sharing [29] could support the interpretation of such data.</w:t>
      </w:r>
    </w:p>
    <w:p>
      <w:pPr>
        <w:spacing w:before="0" w:after="120" w:line="264" w:lineRule="auto"/>
        <w:jc w:val="both"/>
      </w:pPr>
      <w:r>
        <w:t xml:space="preserve">The calibration and internal validation sets of each analysis come from one laboratory, so internal validation tests transfer across gear sets, crown and planet count, but not across laboratories. Several data sets were digitised, the helical analysis relies on a deflection reported at one torque, and </w:t>
      </w:r>
      <w:r>
        <w:rPr>
          <w:i/>
          <w:iCs/>
        </w:rPr>
        <w:t xml:space="preserve">h</w:t>
      </w:r>
      <w:r>
        <w:rPr>
          <w:vertAlign w:val="subscript"/>
        </w:rPr>
        <w:t xml:space="preserve">0</w:t>
      </w:r>
      <w:r>
        <w:t xml:space="preserve"> does not reproduce the nearly uniform distribution at </w:t>
      </w:r>
      <w:r>
        <w:rPr>
          <w:i/>
          <w:iCs/>
        </w:rPr>
        <w:t xml:space="preserve">h</w:t>
      </w:r>
      <w:r>
        <w:t xml:space="preserve"> = 0. The planetary model represents each path by one spring and ignores sun-support stiffness, carrier deformation, planet tilting [19], three-dimensional pinhole errors [20] and dynamic effects; the industrial data were measured at rest and at 85.9 </w:t>
      </w:r>
      <w:r>
        <w:t xml:space="preserve">min</w:t>
      </w:r>
      <w:r>
        <w:rPr>
          <w:vertAlign w:val="superscript"/>
        </w:rPr>
        <w:t xml:space="preserve">−1</w:t>
      </w:r>
      <w:r>
        <w:t xml:space="preserve">, where dynamic effects should be small. Simulation was used only to solve Eqs. (2) and (5), and no computational result was used for validation.</w:t>
      </w:r>
    </w:p>
    <w:p>
      <w:pPr>
        <w:pStyle w:val="Balk1"/>
        <w:keepNext/>
        <w:spacing w:before="240" w:after="120"/>
      </w:pPr>
      <w:r>
        <w:t xml:space="preserve">6 Conclusions</w:t>
      </w:r>
    </w:p>
    <w:p>
      <w:pPr>
        <w:spacing w:before="0" w:after="120" w:line="264" w:lineRule="auto"/>
        <w:jc w:val="both"/>
      </w:pPr>
      <w:r>
        <w:t xml:space="preserve">Measurements from six published experimental studies were used to test whether misalignment-induced load redistribution in gear meshes follows one dimensionless compliance ratio </w:t>
      </w:r>
      <w:r>
        <w:rPr>
          <w:i/>
          <w:iCs/>
        </w:rPr>
        <w:t xml:space="preserve">Π</w:t>
      </w:r>
      <w:r>
        <w:t xml:space="preserve">, the geometric mismatch divided by the effective elastic deflection of the loaded path. The main findings are as follows.</w:t>
      </w:r>
    </w:p>
    <w:p>
      <w:pPr>
        <w:spacing w:before="0" w:after="80" w:line="264" w:lineRule="auto"/>
        <w:ind w:left="567" w:hanging="425"/>
        <w:jc w:val="both"/>
      </w:pPr>
      <w:r>
        <w:t xml:space="preserve">(1) For a helical pair, the normalised face-width redistribution slope was linear in </w:t>
      </w:r>
      <w:r>
        <w:rPr>
          <w:i/>
          <w:iCs/>
        </w:rPr>
        <w:t xml:space="preserve">Π</w:t>
      </w:r>
      <w:r>
        <w:t xml:space="preserve"> with a coefficient of 0.90 (95% CI 0.80–1.05) when </w:t>
      </w:r>
      <w:r>
        <w:rPr>
          <w:i/>
          <w:iCs/>
        </w:rPr>
        <w:t xml:space="preserve">Π</w:t>
      </w:r>
      <w:r>
        <w:t xml:space="preserve"> was formed with the mesh deflection calculated for the specific pair; the generic ISO 6336-1 mesh stiffness would overstate </w:t>
      </w:r>
      <w:r>
        <w:rPr>
          <w:i/>
          <w:iCs/>
        </w:rPr>
        <w:t xml:space="preserve">Π</w:t>
      </w:r>
      <w:r>
        <w:t xml:space="preserve"> by a factor of about 2.5. With an effective residual misalignment of −0.4 × </w:t>
      </w:r>
      <w:r>
        <w:t xml:space="preserve">10</w:t>
      </w:r>
      <w:r>
        <w:rPr>
          <w:vertAlign w:val="superscript"/>
        </w:rPr>
        <w:t xml:space="preserve">−3</w:t>
      </w:r>
      <w:r>
        <w:t xml:space="preserve"> m/m, ISO 6336-1 Method C matched or exceeded the measured root-strain ratios.</w:t>
      </w:r>
    </w:p>
    <w:p>
      <w:pPr>
        <w:spacing w:before="0" w:after="80" w:line="264" w:lineRule="auto"/>
        <w:ind w:left="567" w:hanging="425"/>
        <w:jc w:val="both"/>
      </w:pPr>
      <w:r>
        <w:t xml:space="preserve">(2) For planetary sets with a floating sun, a one-parameter path model based on the same ratio reproduced measured six-planet load shares within 1.6 percentage points, comparable to a multibody contact model. For a single pinhole error and six planets, it has the same form as the linear branch of Method C.</w:t>
      </w:r>
    </w:p>
    <w:p>
      <w:pPr>
        <w:spacing w:before="0" w:after="80" w:line="264" w:lineRule="auto"/>
        <w:ind w:left="567" w:hanging="425"/>
        <w:jc w:val="both"/>
      </w:pPr>
      <w:r>
        <w:t xml:space="preserve">(3) The effective planet-centre deflection was about 8.6 times the mesh-only value from ISO 6336-1, about half of it from the planet bearing, and grew sub-linearly with load. Consequently, </w:t>
      </w:r>
      <w:r>
        <w:rPr>
          <w:i/>
          <w:iCs/>
        </w:rPr>
        <w:t xml:space="preserve">K</w:t>
      </w:r>
      <w:r>
        <w:rPr>
          <w:i/>
          <w:iCs/>
          <w:vertAlign w:val="subscript"/>
        </w:rPr>
        <w:t xml:space="preserve">γ</w:t>
      </w:r>
      <w:r>
        <w:t xml:space="preserve"> decreased with torque, with exponents of 0.38–0.97 in fourteen of fifteen series from two laboratories (pooled 0.73, 95% CI 0.64–0.83), in contrast to the torque-independent value used in design practice.</w:t>
      </w:r>
    </w:p>
    <w:p>
      <w:pPr>
        <w:spacing w:before="0" w:after="80" w:line="264" w:lineRule="auto"/>
        <w:ind w:left="567" w:hanging="425"/>
        <w:jc w:val="both"/>
      </w:pPr>
      <w:r>
        <w:t xml:space="preserve">(4) In both settings, the linear relation holds only while every load path remains in contact; beyond this boundary, the face load factor grows with the square root of </w:t>
      </w:r>
      <w:r>
        <w:rPr>
          <w:i/>
          <w:iCs/>
        </w:rPr>
        <w:t xml:space="preserve">Π</w:t>
      </w:r>
      <w:r>
        <w:t xml:space="preserve"> and the planetary factor saturates.</w:t>
      </w:r>
    </w:p>
    <w:p>
      <w:pPr>
        <w:spacing w:before="0" w:after="80" w:line="264" w:lineRule="auto"/>
        <w:ind w:left="567" w:hanging="425"/>
        <w:jc w:val="both"/>
      </w:pPr>
      <w:r>
        <w:t xml:space="preserve">(5) The laboratory calibration did not transfer to an industrial six-planet gearbox in absolute terms, because one spring per planet does not represent the system compliance of an industrial carrier, and the published experiments do not allow a misalignment–transmission-error relation to be tested.</w:t>
      </w:r>
    </w:p>
    <w:p>
      <w:pPr>
        <w:spacing w:before="0" w:after="120" w:line="264" w:lineRule="auto"/>
        <w:jc w:val="both"/>
      </w:pPr>
      <w:r>
        <w:t xml:space="preserve">These conclusions are limited to quasi-static conditions and to the gear types and error ranges listed in Table 2.</w:t>
      </w:r>
    </w:p>
    <w:p>
      <w:pPr>
        <w:pStyle w:val="Balk1"/>
        <w:keepNext/>
        <w:spacing w:before="240" w:after="120"/>
      </w:pPr>
      <w:r>
        <w:t xml:space="preserve">Declarations</w:t>
      </w:r>
    </w:p>
    <w:p>
      <w:pPr>
        <w:pStyle w:val="Balk2"/>
        <w:keepNext/>
        <w:spacing w:before="120" w:after="60"/>
      </w:pPr>
      <w:r>
        <w:t xml:space="preserve">Author Contributions</w:t>
      </w:r>
    </w:p>
    <w:p>
      <w:pPr>
        <w:spacing w:before="0" w:after="120" w:line="264" w:lineRule="auto"/>
        <w:jc w:val="both"/>
      </w:pPr>
      <w:r>
        <w:t xml:space="preserve">Yunus Emre Karabacak: Conceptualization, Methodology, Data curation, Formal analysis, Software, Visualization, Writing – original draft, Writing – review &amp; editing.</w:t>
      </w:r>
    </w:p>
    <w:p>
      <w:pPr>
        <w:pStyle w:val="Balk2"/>
        <w:keepNext/>
        <w:spacing w:before="120" w:after="60"/>
      </w:pPr>
      <w:r>
        <w:t xml:space="preserve">Competing Interests</w:t>
      </w:r>
    </w:p>
    <w:p>
      <w:pPr>
        <w:spacing w:before="0" w:after="120" w:line="264" w:lineRule="auto"/>
        <w:jc w:val="both"/>
      </w:pPr>
      <w:r>
        <w:t xml:space="preserve">The author declares no known competing financial interests or personal relationships that could have appeared to influence the work reported in this paper.</w:t>
      </w:r>
    </w:p>
    <w:p>
      <w:pPr>
        <w:pStyle w:val="Balk2"/>
        <w:keepNext/>
        <w:spacing w:before="120" w:after="60"/>
      </w:pPr>
      <w:r>
        <w:t xml:space="preserve">Data Availability</w:t>
      </w:r>
    </w:p>
    <w:p>
      <w:pPr>
        <w:spacing w:before="0" w:after="120" w:line="264" w:lineRule="auto"/>
        <w:jc w:val="both"/>
      </w:pPr>
      <w:r>
        <w:t xml:space="preserve">All experimental values were extracted from the published sources listed in Table 2. The digitised data set, the extraction settings and the analysis scripts are available from the corresponding author on reasonable request.</w:t>
      </w:r>
    </w:p>
    <w:p>
      <w:pPr>
        <w:pStyle w:val="Balk1"/>
        <w:keepNext/>
        <w:spacing w:before="240" w:after="120"/>
      </w:pPr>
      <w:r>
        <w:t xml:space="preserve">References</w:t>
      </w:r>
    </w:p>
    <w:p>
      <w:pPr>
        <w:numPr>
          <w:ilvl w:val="0"/>
          <w:numId w:val="2"/>
        </w:numPr>
        <w:spacing w:before="0" w:after="60" w:line="240" w:lineRule="auto"/>
        <w:ind w:left="454" w:hanging="454"/>
        <w:jc w:val="left"/>
      </w:pPr>
      <w:r>
        <w:rPr>
          <w:sz w:val="20"/>
          <w:szCs w:val="20"/>
        </w:rPr>
        <w:t xml:space="preserve">International Organization for Standardization. (2006). </w:t>
      </w:r>
      <w:r>
        <w:rPr>
          <w:i/>
          <w:iCs/>
          <w:sz w:val="20"/>
          <w:szCs w:val="20"/>
        </w:rPr>
        <w:t xml:space="preserve">Calculation of load capacity of spur and helical gears — Part 1: Basic principles, introduction and general influence factors</w:t>
      </w:r>
      <w:r>
        <w:rPr>
          <w:sz w:val="20"/>
          <w:szCs w:val="20"/>
        </w:rPr>
        <w:t xml:space="preserve"> (ISO Standard No. 6336-1:2006, corrected version 2007-04-01). ISO.</w:t>
      </w:r>
    </w:p>
    <w:p>
      <w:pPr>
        <w:numPr>
          <w:ilvl w:val="0"/>
          <w:numId w:val="2"/>
        </w:numPr>
        <w:spacing w:before="0" w:after="60" w:line="240" w:lineRule="auto"/>
        <w:ind w:left="454" w:hanging="454"/>
        <w:jc w:val="left"/>
      </w:pPr>
      <w:r>
        <w:rPr>
          <w:sz w:val="20"/>
          <w:szCs w:val="20"/>
        </w:rPr>
        <w:t xml:space="preserve">American Gear Manufacturers Association. (2004). </w:t>
      </w:r>
      <w:r>
        <w:rPr>
          <w:i/>
          <w:iCs/>
          <w:sz w:val="20"/>
          <w:szCs w:val="20"/>
        </w:rPr>
        <w:t xml:space="preserve">Fundamental rating factors and calculation methods for involute spur and helical gear teeth</w:t>
      </w:r>
      <w:r>
        <w:rPr>
          <w:sz w:val="20"/>
          <w:szCs w:val="20"/>
        </w:rPr>
        <w:t xml:space="preserve"> (ANSI/AGMA 2001-D04). AGMA.</w:t>
      </w:r>
    </w:p>
    <w:p>
      <w:pPr>
        <w:numPr>
          <w:ilvl w:val="0"/>
          <w:numId w:val="2"/>
        </w:numPr>
        <w:spacing w:before="0" w:after="60" w:line="240" w:lineRule="auto"/>
        <w:ind w:left="454" w:hanging="454"/>
        <w:jc w:val="left"/>
      </w:pPr>
      <w:r>
        <w:rPr>
          <w:sz w:val="20"/>
          <w:szCs w:val="20"/>
        </w:rPr>
        <w:t xml:space="preserve">American Gear Manufacturers Association. (2006). </w:t>
      </w:r>
      <w:r>
        <w:rPr>
          <w:i/>
          <w:iCs/>
          <w:sz w:val="20"/>
          <w:szCs w:val="20"/>
        </w:rPr>
        <w:t xml:space="preserve">Design manual for enclosed epicyclic gear drives</w:t>
      </w:r>
      <w:r>
        <w:rPr>
          <w:sz w:val="20"/>
          <w:szCs w:val="20"/>
        </w:rPr>
        <w:t xml:space="preserve"> (ANSI/AGMA 6123-B06). AGMA.</w:t>
      </w:r>
    </w:p>
    <w:p>
      <w:pPr>
        <w:numPr>
          <w:ilvl w:val="0"/>
          <w:numId w:val="2"/>
        </w:numPr>
        <w:spacing w:before="0" w:after="60" w:line="240" w:lineRule="auto"/>
        <w:ind w:left="454" w:hanging="454"/>
        <w:jc w:val="left"/>
      </w:pPr>
      <w:r>
        <w:rPr>
          <w:sz w:val="20"/>
          <w:szCs w:val="20"/>
        </w:rPr>
        <w:t xml:space="preserve">Hotait, M. A., &amp; Kahraman, A. (2008). Experiments on root stresses of helical gears with lead crown and misalignments. </w:t>
      </w:r>
      <w:r>
        <w:rPr>
          <w:i/>
          <w:iCs/>
          <w:sz w:val="20"/>
          <w:szCs w:val="20"/>
        </w:rPr>
        <w:t xml:space="preserve">Journal of Mechanical Design, 130</w:t>
      </w:r>
      <w:r>
        <w:rPr>
          <w:sz w:val="20"/>
          <w:szCs w:val="20"/>
        </w:rPr>
        <w:t xml:space="preserve">(7), 074502. https://doi.org/10.1115/1.2931127</w:t>
      </w:r>
    </w:p>
    <w:p>
      <w:pPr>
        <w:numPr>
          <w:ilvl w:val="0"/>
          <w:numId w:val="2"/>
        </w:numPr>
        <w:spacing w:before="0" w:after="60" w:line="240" w:lineRule="auto"/>
        <w:ind w:left="454" w:hanging="454"/>
        <w:jc w:val="left"/>
      </w:pPr>
      <w:r>
        <w:rPr>
          <w:sz w:val="20"/>
          <w:szCs w:val="20"/>
        </w:rPr>
        <w:t xml:space="preserve">Hotait, M. A., Kahraman, A., &amp; Nishino, T. (2011). An investigation of root stresses of hypoid gears with misalignments. </w:t>
      </w:r>
      <w:r>
        <w:rPr>
          <w:i/>
          <w:iCs/>
          <w:sz w:val="20"/>
          <w:szCs w:val="20"/>
        </w:rPr>
        <w:t xml:space="preserve">Journal of Mechanical Design, 133</w:t>
      </w:r>
      <w:r>
        <w:rPr>
          <w:sz w:val="20"/>
          <w:szCs w:val="20"/>
        </w:rPr>
        <w:t xml:space="preserve">(7), 071006. https://doi.org/10.1115/1.4004224</w:t>
      </w:r>
    </w:p>
    <w:p>
      <w:pPr>
        <w:numPr>
          <w:ilvl w:val="0"/>
          <w:numId w:val="2"/>
        </w:numPr>
        <w:spacing w:before="0" w:after="60" w:line="240" w:lineRule="auto"/>
        <w:ind w:left="454" w:hanging="454"/>
        <w:jc w:val="left"/>
      </w:pPr>
      <w:r>
        <w:rPr>
          <w:sz w:val="20"/>
          <w:szCs w:val="20"/>
        </w:rPr>
        <w:t xml:space="preserve">Kumar, P., Hirani, H., &amp; Agrawal, A. K. (2019). Effect of gear misalignment on contact area: Theoretical and experimental studies. </w:t>
      </w:r>
      <w:r>
        <w:rPr>
          <w:i/>
          <w:iCs/>
          <w:sz w:val="20"/>
          <w:szCs w:val="20"/>
        </w:rPr>
        <w:t xml:space="preserve">Measurement, 132</w:t>
      </w:r>
      <w:r>
        <w:rPr>
          <w:sz w:val="20"/>
          <w:szCs w:val="20"/>
        </w:rPr>
        <w:t xml:space="preserve">, 359–368. https://doi.org/10.1016/j.measurement.2018.09.070</w:t>
      </w:r>
    </w:p>
    <w:p>
      <w:pPr>
        <w:numPr>
          <w:ilvl w:val="0"/>
          <w:numId w:val="2"/>
        </w:numPr>
        <w:spacing w:before="0" w:after="60" w:line="240" w:lineRule="auto"/>
        <w:ind w:left="454" w:hanging="454"/>
        <w:jc w:val="left"/>
      </w:pPr>
      <w:r>
        <w:rPr>
          <w:sz w:val="20"/>
          <w:szCs w:val="20"/>
        </w:rPr>
        <w:t xml:space="preserve">Li, S. (2007). Effects of machining errors, assembly errors and tooth modifications on loading capacity, load-sharing ratio and transmission error of a pair of spur gears. </w:t>
      </w:r>
      <w:r>
        <w:rPr>
          <w:i/>
          <w:iCs/>
          <w:sz w:val="20"/>
          <w:szCs w:val="20"/>
        </w:rPr>
        <w:t xml:space="preserve">Mechanism and Machine Theory, 42</w:t>
      </w:r>
      <w:r>
        <w:rPr>
          <w:sz w:val="20"/>
          <w:szCs w:val="20"/>
        </w:rPr>
        <w:t xml:space="preserve">(6), 698–726.</w:t>
      </w:r>
    </w:p>
    <w:p>
      <w:pPr>
        <w:numPr>
          <w:ilvl w:val="0"/>
          <w:numId w:val="2"/>
        </w:numPr>
        <w:spacing w:before="0" w:after="60" w:line="240" w:lineRule="auto"/>
        <w:ind w:left="454" w:hanging="454"/>
        <w:jc w:val="left"/>
      </w:pPr>
      <w:r>
        <w:rPr>
          <w:sz w:val="20"/>
          <w:szCs w:val="20"/>
        </w:rPr>
        <w:t xml:space="preserve">Li, S. (2015). Effects of misalignment error, tooth modifications and transmitted torque on tooth engagements of a pair of spur gears. </w:t>
      </w:r>
      <w:r>
        <w:rPr>
          <w:i/>
          <w:iCs/>
          <w:sz w:val="20"/>
          <w:szCs w:val="20"/>
        </w:rPr>
        <w:t xml:space="preserve">Mechanism and Machine Theory, 83</w:t>
      </w:r>
      <w:r>
        <w:rPr>
          <w:sz w:val="20"/>
          <w:szCs w:val="20"/>
        </w:rPr>
        <w:t xml:space="preserve">, 125–136. https://doi.org/10.1016/j.mechmachtheory.2014.09.011</w:t>
      </w:r>
    </w:p>
    <w:p>
      <w:pPr>
        <w:numPr>
          <w:ilvl w:val="0"/>
          <w:numId w:val="2"/>
        </w:numPr>
        <w:spacing w:before="0" w:after="60" w:line="240" w:lineRule="auto"/>
        <w:ind w:left="454" w:hanging="454"/>
        <w:jc w:val="left"/>
      </w:pPr>
      <w:r>
        <w:rPr>
          <w:sz w:val="20"/>
          <w:szCs w:val="20"/>
        </w:rPr>
        <w:t xml:space="preserve">Saxena, A., Parey, A., &amp; Chouksey, M. (2015). Effect of shaft misalignment and friction force on time varying mesh stiffness of spur gear pair. </w:t>
      </w:r>
      <w:r>
        <w:rPr>
          <w:i/>
          <w:iCs/>
          <w:sz w:val="20"/>
          <w:szCs w:val="20"/>
        </w:rPr>
        <w:t xml:space="preserve">Engineering Failure Analysis, 49</w:t>
      </w:r>
      <w:r>
        <w:rPr>
          <w:sz w:val="20"/>
          <w:szCs w:val="20"/>
        </w:rPr>
        <w:t xml:space="preserve">, 79–91. https://doi.org/10.1016/j.engfailanal.2014.12.020</w:t>
      </w:r>
    </w:p>
    <w:p>
      <w:pPr>
        <w:numPr>
          <w:ilvl w:val="0"/>
          <w:numId w:val="2"/>
        </w:numPr>
        <w:spacing w:before="0" w:after="60" w:line="240" w:lineRule="auto"/>
        <w:ind w:left="454" w:hanging="454"/>
        <w:jc w:val="left"/>
      </w:pPr>
      <w:r>
        <w:rPr>
          <w:sz w:val="20"/>
          <w:szCs w:val="20"/>
        </w:rPr>
        <w:t xml:space="preserve">Qiu, F., Xie, D., Wang, B., Fu, Q., Ding, B., &amp; Zhang, H. (2026). Meshing characteristics and fatigue life analysis of top drive gear transmission system under misalignment. </w:t>
      </w:r>
      <w:r>
        <w:rPr>
          <w:i/>
          <w:iCs/>
          <w:sz w:val="20"/>
          <w:szCs w:val="20"/>
        </w:rPr>
        <w:t xml:space="preserve">Engineering Failure Analysis, 184</w:t>
      </w:r>
      <w:r>
        <w:rPr>
          <w:sz w:val="20"/>
          <w:szCs w:val="20"/>
        </w:rPr>
        <w:t xml:space="preserve">, 110339. https://doi.org/10.1016/j.engfailanal.2025.110339</w:t>
      </w:r>
    </w:p>
    <w:p>
      <w:pPr>
        <w:numPr>
          <w:ilvl w:val="0"/>
          <w:numId w:val="2"/>
        </w:numPr>
        <w:spacing w:before="0" w:after="60" w:line="240" w:lineRule="auto"/>
        <w:ind w:left="454" w:hanging="454"/>
        <w:jc w:val="left"/>
      </w:pPr>
      <w:r>
        <w:rPr>
          <w:sz w:val="20"/>
          <w:szCs w:val="20"/>
        </w:rPr>
        <w:t xml:space="preserve">Peng, Y., Zhao, N., Qiu, P., Zhang, M., Li, W., &amp; Zhou, R. (2018). An efficient model of load distribution for helical gears with modification and misalignment. </w:t>
      </w:r>
      <w:r>
        <w:rPr>
          <w:i/>
          <w:iCs/>
          <w:sz w:val="20"/>
          <w:szCs w:val="20"/>
        </w:rPr>
        <w:t xml:space="preserve">Mechanism and Machine Theory, 121</w:t>
      </w:r>
      <w:r>
        <w:rPr>
          <w:sz w:val="20"/>
          <w:szCs w:val="20"/>
        </w:rPr>
        <w:t xml:space="preserve">, 151–168.</w:t>
      </w:r>
    </w:p>
    <w:p>
      <w:pPr>
        <w:numPr>
          <w:ilvl w:val="0"/>
          <w:numId w:val="2"/>
        </w:numPr>
        <w:spacing w:before="0" w:after="60" w:line="240" w:lineRule="auto"/>
        <w:ind w:left="454" w:hanging="454"/>
        <w:jc w:val="left"/>
      </w:pPr>
      <w:r>
        <w:rPr>
          <w:sz w:val="20"/>
          <w:szCs w:val="20"/>
        </w:rPr>
        <w:t xml:space="preserve">Roda-Casanova, V., Funaru, T. G., &amp; Patil, S. S. (2026). Analysis of the ISO 6336 face load factor and its application to helical gears. </w:t>
      </w:r>
      <w:r>
        <w:rPr>
          <w:i/>
          <w:iCs/>
          <w:sz w:val="20"/>
          <w:szCs w:val="20"/>
        </w:rPr>
        <w:t xml:space="preserve">Proceedings of the Institution of Mechanical Engineers, Part C: Journal of Mechanical Engineering Science, 240</w:t>
      </w:r>
      <w:r>
        <w:rPr>
          <w:sz w:val="20"/>
          <w:szCs w:val="20"/>
        </w:rPr>
        <w:t xml:space="preserve">(15), 5712–5729. https://doi.org/10.1177/09544062251347483</w:t>
      </w:r>
    </w:p>
    <w:p>
      <w:pPr>
        <w:numPr>
          <w:ilvl w:val="0"/>
          <w:numId w:val="2"/>
        </w:numPr>
        <w:spacing w:before="0" w:after="60" w:line="240" w:lineRule="auto"/>
        <w:ind w:left="454" w:hanging="454"/>
        <w:jc w:val="left"/>
      </w:pPr>
      <w:r>
        <w:rPr>
          <w:sz w:val="20"/>
          <w:szCs w:val="20"/>
        </w:rPr>
        <w:t xml:space="preserve">Kahraman, A. (1994). Load sharing characteristics of planetary transmissions. </w:t>
      </w:r>
      <w:r>
        <w:rPr>
          <w:i/>
          <w:iCs/>
          <w:sz w:val="20"/>
          <w:szCs w:val="20"/>
        </w:rPr>
        <w:t xml:space="preserve">Mechanism and Machine Theory, 29</w:t>
      </w:r>
      <w:r>
        <w:rPr>
          <w:sz w:val="20"/>
          <w:szCs w:val="20"/>
        </w:rPr>
        <w:t xml:space="preserve">(8), 1151–1165.</w:t>
      </w:r>
    </w:p>
    <w:p>
      <w:pPr>
        <w:numPr>
          <w:ilvl w:val="0"/>
          <w:numId w:val="2"/>
        </w:numPr>
        <w:spacing w:before="0" w:after="60" w:line="240" w:lineRule="auto"/>
        <w:ind w:left="454" w:hanging="454"/>
        <w:jc w:val="left"/>
      </w:pPr>
      <w:r>
        <w:rPr>
          <w:sz w:val="20"/>
          <w:szCs w:val="20"/>
        </w:rPr>
        <w:t xml:space="preserve">Bodas, A., &amp; Kahraman, A. (2004). Influence of carrier and gear manufacturing errors on the static load sharing behavior of planetary gear sets. </w:t>
      </w:r>
      <w:r>
        <w:rPr>
          <w:i/>
          <w:iCs/>
          <w:sz w:val="20"/>
          <w:szCs w:val="20"/>
        </w:rPr>
        <w:t xml:space="preserve">JSME International Journal Series C, 47</w:t>
      </w:r>
      <w:r>
        <w:rPr>
          <w:sz w:val="20"/>
          <w:szCs w:val="20"/>
        </w:rPr>
        <w:t xml:space="preserve">(3), 908–915. https://doi.org/10.1299/jsmec.47.908</w:t>
      </w:r>
    </w:p>
    <w:p>
      <w:pPr>
        <w:numPr>
          <w:ilvl w:val="0"/>
          <w:numId w:val="2"/>
        </w:numPr>
        <w:spacing w:before="0" w:after="60" w:line="240" w:lineRule="auto"/>
        <w:ind w:left="454" w:hanging="454"/>
        <w:jc w:val="left"/>
      </w:pPr>
      <w:r>
        <w:rPr>
          <w:sz w:val="20"/>
          <w:szCs w:val="20"/>
        </w:rPr>
        <w:t xml:space="preserve">Ligata, H., Kahraman, A., &amp; Singh, A. (2009). A closed-form planet load sharing formulation for planetary gear sets using a translational analogy. </w:t>
      </w:r>
      <w:r>
        <w:rPr>
          <w:i/>
          <w:iCs/>
          <w:sz w:val="20"/>
          <w:szCs w:val="20"/>
        </w:rPr>
        <w:t xml:space="preserve">Journal of Mechanical Design, 131</w:t>
      </w:r>
      <w:r>
        <w:rPr>
          <w:sz w:val="20"/>
          <w:szCs w:val="20"/>
        </w:rPr>
        <w:t xml:space="preserve">(2), 021007. https://doi.org/10.1115/1.3042160</w:t>
      </w:r>
    </w:p>
    <w:p>
      <w:pPr>
        <w:numPr>
          <w:ilvl w:val="0"/>
          <w:numId w:val="2"/>
        </w:numPr>
        <w:spacing w:before="0" w:after="60" w:line="240" w:lineRule="auto"/>
        <w:ind w:left="454" w:hanging="454"/>
        <w:jc w:val="left"/>
      </w:pPr>
      <w:r>
        <w:rPr>
          <w:sz w:val="20"/>
          <w:szCs w:val="20"/>
        </w:rPr>
        <w:t xml:space="preserve">Singh, A. (2005). Application of a system level model to study the planetary load sharing behavior. </w:t>
      </w:r>
      <w:r>
        <w:rPr>
          <w:i/>
          <w:iCs/>
          <w:sz w:val="20"/>
          <w:szCs w:val="20"/>
        </w:rPr>
        <w:t xml:space="preserve">Journal of Mechanical Design, 127</w:t>
      </w:r>
      <w:r>
        <w:rPr>
          <w:sz w:val="20"/>
          <w:szCs w:val="20"/>
        </w:rPr>
        <w:t xml:space="preserve">(3), 469–476. https://doi.org/10.1115/1.1864115</w:t>
      </w:r>
    </w:p>
    <w:p>
      <w:pPr>
        <w:numPr>
          <w:ilvl w:val="0"/>
          <w:numId w:val="2"/>
        </w:numPr>
        <w:spacing w:before="0" w:after="60" w:line="240" w:lineRule="auto"/>
        <w:ind w:left="454" w:hanging="454"/>
        <w:jc w:val="left"/>
      </w:pPr>
      <w:r>
        <w:rPr>
          <w:sz w:val="20"/>
          <w:szCs w:val="20"/>
        </w:rPr>
        <w:t xml:space="preserve">Singh, A., Kahraman, A., &amp; Ligata, H. (2008). Internal gear strains and load sharing in planetary transmissions: Model and experiments. </w:t>
      </w:r>
      <w:r>
        <w:rPr>
          <w:i/>
          <w:iCs/>
          <w:sz w:val="20"/>
          <w:szCs w:val="20"/>
        </w:rPr>
        <w:t xml:space="preserve">Journal of Mechanical Design, 130</w:t>
      </w:r>
      <w:r>
        <w:rPr>
          <w:sz w:val="20"/>
          <w:szCs w:val="20"/>
        </w:rPr>
        <w:t xml:space="preserve">(7), 072602. https://doi.org/10.1115/1.2890110</w:t>
      </w:r>
    </w:p>
    <w:p>
      <w:pPr>
        <w:numPr>
          <w:ilvl w:val="0"/>
          <w:numId w:val="2"/>
        </w:numPr>
        <w:spacing w:before="0" w:after="60" w:line="240" w:lineRule="auto"/>
        <w:ind w:left="454" w:hanging="454"/>
        <w:jc w:val="left"/>
      </w:pPr>
      <w:r>
        <w:rPr>
          <w:sz w:val="20"/>
          <w:szCs w:val="20"/>
        </w:rPr>
        <w:t xml:space="preserve">Leque, N., &amp; Kahraman, A. (2017). A three-dimensional load sharing model of planetary gear sets having manufacturing errors. </w:t>
      </w:r>
      <w:r>
        <w:rPr>
          <w:i/>
          <w:iCs/>
          <w:sz w:val="20"/>
          <w:szCs w:val="20"/>
        </w:rPr>
        <w:t xml:space="preserve">Journal of Mechanical Design, 139</w:t>
      </w:r>
      <w:r>
        <w:rPr>
          <w:sz w:val="20"/>
          <w:szCs w:val="20"/>
        </w:rPr>
        <w:t xml:space="preserve">(3), 033302.</w:t>
      </w:r>
    </w:p>
    <w:p>
      <w:pPr>
        <w:numPr>
          <w:ilvl w:val="0"/>
          <w:numId w:val="2"/>
        </w:numPr>
        <w:spacing w:before="0" w:after="60" w:line="240" w:lineRule="auto"/>
        <w:ind w:left="454" w:hanging="454"/>
        <w:jc w:val="left"/>
      </w:pPr>
      <w:r>
        <w:rPr>
          <w:sz w:val="20"/>
          <w:szCs w:val="20"/>
        </w:rPr>
        <w:t xml:space="preserve">Hu, Y., Talbot, D., &amp; Kahraman, A. (2018). A load distribution model for planetary gear sets. </w:t>
      </w:r>
      <w:r>
        <w:rPr>
          <w:i/>
          <w:iCs/>
          <w:sz w:val="20"/>
          <w:szCs w:val="20"/>
        </w:rPr>
        <w:t xml:space="preserve">Journal of Mechanical Design, 140</w:t>
      </w:r>
      <w:r>
        <w:rPr>
          <w:sz w:val="20"/>
          <w:szCs w:val="20"/>
        </w:rPr>
        <w:t xml:space="preserve">(5), 053302. https://doi.org/10.1115/1.4039337</w:t>
      </w:r>
    </w:p>
    <w:p>
      <w:pPr>
        <w:numPr>
          <w:ilvl w:val="0"/>
          <w:numId w:val="2"/>
        </w:numPr>
        <w:spacing w:before="0" w:after="60" w:line="240" w:lineRule="auto"/>
        <w:ind w:left="454" w:hanging="454"/>
        <w:jc w:val="left"/>
      </w:pPr>
      <w:r>
        <w:rPr>
          <w:sz w:val="20"/>
          <w:szCs w:val="20"/>
        </w:rPr>
        <w:t xml:space="preserve">Dong, H., Zhang, C., Bai, S., &amp; Wang, D. (2019). Modeling, analysis and testing of load distribution for planetary gear trains with 3D carrier pinhole position errors. </w:t>
      </w:r>
      <w:r>
        <w:rPr>
          <w:i/>
          <w:iCs/>
          <w:sz w:val="20"/>
          <w:szCs w:val="20"/>
        </w:rPr>
        <w:t xml:space="preserve">International Journal of Precision Engineering and Manufacturing, 20</w:t>
      </w:r>
      <w:r>
        <w:rPr>
          <w:sz w:val="20"/>
          <w:szCs w:val="20"/>
        </w:rPr>
        <w:t xml:space="preserve">(8), 1381–1394. https://doi.org/10.1007/s12541-019-00166-1</w:t>
      </w:r>
    </w:p>
    <w:p>
      <w:pPr>
        <w:numPr>
          <w:ilvl w:val="0"/>
          <w:numId w:val="2"/>
        </w:numPr>
        <w:spacing w:before="0" w:after="60" w:line="240" w:lineRule="auto"/>
        <w:ind w:left="454" w:hanging="454"/>
        <w:jc w:val="left"/>
      </w:pPr>
      <w:r>
        <w:rPr>
          <w:sz w:val="20"/>
          <w:szCs w:val="20"/>
        </w:rPr>
        <w:t xml:space="preserve">Kim, J.-G., Park, Y.-J., Lee, S.-D., Oh, J.-Y., Kim, J.-H., &amp; Lee, G.-H. (2018). Influence of the carrier pinhole position errors on the load sharing of a planetary gear train. </w:t>
      </w:r>
      <w:r>
        <w:rPr>
          <w:i/>
          <w:iCs/>
          <w:sz w:val="20"/>
          <w:szCs w:val="20"/>
        </w:rPr>
        <w:t xml:space="preserve">International Journal of Precision Engineering and Manufacturing, 19</w:t>
      </w:r>
      <w:r>
        <w:rPr>
          <w:sz w:val="20"/>
          <w:szCs w:val="20"/>
        </w:rPr>
        <w:t xml:space="preserve">(4), 537–543. https://doi.org/10.1007/s12541-018-0065-4</w:t>
      </w:r>
    </w:p>
    <w:p>
      <w:pPr>
        <w:numPr>
          <w:ilvl w:val="0"/>
          <w:numId w:val="2"/>
        </w:numPr>
        <w:spacing w:before="0" w:after="60" w:line="240" w:lineRule="auto"/>
        <w:ind w:left="454" w:hanging="454"/>
        <w:jc w:val="left"/>
      </w:pPr>
      <w:r>
        <w:rPr>
          <w:sz w:val="20"/>
          <w:szCs w:val="20"/>
        </w:rPr>
        <w:t xml:space="preserve">Iglesias, M., Fernández del Rincón, A., de-Juan, A., García, P., Diez-Ibarbia, A., &amp; Viadero, F. (2017). Planetary transmission load sharing: Manufacturing errors and system configuration study. </w:t>
      </w:r>
      <w:r>
        <w:rPr>
          <w:i/>
          <w:iCs/>
          <w:sz w:val="20"/>
          <w:szCs w:val="20"/>
        </w:rPr>
        <w:t xml:space="preserve">Mechanism and Machine Theory, 111</w:t>
      </w:r>
      <w:r>
        <w:rPr>
          <w:sz w:val="20"/>
          <w:szCs w:val="20"/>
        </w:rPr>
        <w:t xml:space="preserve">, 21–38. https://doi.org/10.1016/j.mechmachtheory.2016.12.010</w:t>
      </w:r>
    </w:p>
    <w:p>
      <w:pPr>
        <w:numPr>
          <w:ilvl w:val="0"/>
          <w:numId w:val="2"/>
        </w:numPr>
        <w:spacing w:before="0" w:after="60" w:line="240" w:lineRule="auto"/>
        <w:ind w:left="454" w:hanging="454"/>
        <w:jc w:val="left"/>
      </w:pPr>
      <w:r>
        <w:rPr>
          <w:sz w:val="20"/>
          <w:szCs w:val="20"/>
        </w:rPr>
        <w:t xml:space="preserve">Ligata, H., Kahraman, A., &amp; Singh, A. (2008). An experimental study of the influence of manufacturing errors on the planetary gear stresses and planet load sharing. </w:t>
      </w:r>
      <w:r>
        <w:rPr>
          <w:i/>
          <w:iCs/>
          <w:sz w:val="20"/>
          <w:szCs w:val="20"/>
        </w:rPr>
        <w:t xml:space="preserve">Journal of Mechanical Design, 130</w:t>
      </w:r>
      <w:r>
        <w:rPr>
          <w:sz w:val="20"/>
          <w:szCs w:val="20"/>
        </w:rPr>
        <w:t xml:space="preserve">(4), 041701. https://doi.org/10.1115/1.2885194</w:t>
      </w:r>
    </w:p>
    <w:p>
      <w:pPr>
        <w:numPr>
          <w:ilvl w:val="0"/>
          <w:numId w:val="2"/>
        </w:numPr>
        <w:spacing w:before="0" w:after="60" w:line="240" w:lineRule="auto"/>
        <w:ind w:left="454" w:hanging="454"/>
        <w:jc w:val="left"/>
      </w:pPr>
      <w:r>
        <w:rPr>
          <w:sz w:val="20"/>
          <w:szCs w:val="20"/>
        </w:rPr>
        <w:t xml:space="preserve">Kim, J.-G., Park, Y.-J., Lee, G.-H., &amp; Kim, J.-H. (2016). An experimental study on the effect of carrier pinhole position errors on planet gear load sharing. </w:t>
      </w:r>
      <w:r>
        <w:rPr>
          <w:i/>
          <w:iCs/>
          <w:sz w:val="20"/>
          <w:szCs w:val="20"/>
        </w:rPr>
        <w:t xml:space="preserve">International Journal of Precision Engineering and Manufacturing, 17</w:t>
      </w:r>
      <w:r>
        <w:rPr>
          <w:sz w:val="20"/>
          <w:szCs w:val="20"/>
        </w:rPr>
        <w:t xml:space="preserve">(10), 1305–1312. https://doi.org/10.1007/s12541-016-0155-0</w:t>
      </w:r>
    </w:p>
    <w:p>
      <w:pPr>
        <w:numPr>
          <w:ilvl w:val="0"/>
          <w:numId w:val="2"/>
        </w:numPr>
        <w:spacing w:before="0" w:after="60" w:line="240" w:lineRule="auto"/>
        <w:ind w:left="454" w:hanging="454"/>
        <w:jc w:val="left"/>
      </w:pPr>
      <w:r>
        <w:rPr>
          <w:sz w:val="20"/>
          <w:szCs w:val="20"/>
        </w:rPr>
        <w:t xml:space="preserve">Kim, J.-G., Park, Y.-J., Lee, G.-H., Lee, S.-D., &amp; Oh, J.-Y. (2018). Experimental study on the carrier pinhole position error affecting dynamic load sharing of planetary gearboxes. </w:t>
      </w:r>
      <w:r>
        <w:rPr>
          <w:i/>
          <w:iCs/>
          <w:sz w:val="20"/>
          <w:szCs w:val="20"/>
        </w:rPr>
        <w:t xml:space="preserve">International Journal of Precision Engineering and Manufacturing, 19</w:t>
      </w:r>
      <w:r>
        <w:rPr>
          <w:sz w:val="20"/>
          <w:szCs w:val="20"/>
        </w:rPr>
        <w:t xml:space="preserve">(6), 881–887. https://doi.org/10.1007/s12541-018-0104-1</w:t>
      </w:r>
    </w:p>
    <w:p>
      <w:pPr>
        <w:numPr>
          <w:ilvl w:val="0"/>
          <w:numId w:val="2"/>
        </w:numPr>
        <w:spacing w:before="0" w:after="60" w:line="240" w:lineRule="auto"/>
        <w:ind w:left="454" w:hanging="454"/>
        <w:jc w:val="left"/>
      </w:pPr>
      <w:r>
        <w:rPr>
          <w:sz w:val="20"/>
          <w:szCs w:val="20"/>
        </w:rPr>
        <w:t xml:space="preserve">Tamminana, V. K., Kahraman, A., &amp; Vijayakar, S. (2007). A study of the relationship between the dynamic factors and the dynamic transmission error of spur gear pairs. </w:t>
      </w:r>
      <w:r>
        <w:rPr>
          <w:i/>
          <w:iCs/>
          <w:sz w:val="20"/>
          <w:szCs w:val="20"/>
        </w:rPr>
        <w:t xml:space="preserve">Journal of Mechanical Design, 129</w:t>
      </w:r>
      <w:r>
        <w:rPr>
          <w:sz w:val="20"/>
          <w:szCs w:val="20"/>
        </w:rPr>
        <w:t xml:space="preserve">(1), 75–84.</w:t>
      </w:r>
    </w:p>
    <w:p>
      <w:pPr>
        <w:numPr>
          <w:ilvl w:val="0"/>
          <w:numId w:val="2"/>
        </w:numPr>
        <w:spacing w:before="0" w:after="60" w:line="240" w:lineRule="auto"/>
        <w:ind w:left="454" w:hanging="454"/>
        <w:jc w:val="left"/>
      </w:pPr>
      <w:r>
        <w:rPr>
          <w:sz w:val="20"/>
          <w:szCs w:val="20"/>
        </w:rPr>
        <w:t xml:space="preserve">Hotait, M. A., &amp; Kahraman, A. (2013). Experiments on the relationship between the dynamic transmission error and the dynamic stress factor of spur gear pairs. </w:t>
      </w:r>
      <w:r>
        <w:rPr>
          <w:i/>
          <w:iCs/>
          <w:sz w:val="20"/>
          <w:szCs w:val="20"/>
        </w:rPr>
        <w:t xml:space="preserve">Mechanism and Machine Theory, 70</w:t>
      </w:r>
      <w:r>
        <w:rPr>
          <w:sz w:val="20"/>
          <w:szCs w:val="20"/>
        </w:rPr>
        <w:t xml:space="preserve">, 116–128. https://doi.org/10.1016/j.mechmachtheory.2013.07.006</w:t>
      </w:r>
    </w:p>
    <w:p>
      <w:pPr>
        <w:numPr>
          <w:ilvl w:val="0"/>
          <w:numId w:val="2"/>
        </w:numPr>
        <w:spacing w:before="0" w:after="60" w:line="240" w:lineRule="auto"/>
        <w:ind w:left="454" w:hanging="454"/>
        <w:jc w:val="left"/>
      </w:pPr>
      <w:r>
        <w:rPr>
          <w:sz w:val="20"/>
          <w:szCs w:val="20"/>
        </w:rPr>
        <w:t xml:space="preserve">Palermo, A., Britte, L., Janssens, K., Mundo, D., &amp; Desmet, W. (2018). The measurement of gear transmission error as an NVH indicator: Theoretical discussion and industrial application via low-cost digital encoders to an all-electric vehicle gearbox. </w:t>
      </w:r>
      <w:r>
        <w:rPr>
          <w:i/>
          <w:iCs/>
          <w:sz w:val="20"/>
          <w:szCs w:val="20"/>
        </w:rPr>
        <w:t xml:space="preserve">Mechanical Systems and Signal Processing, 110</w:t>
      </w:r>
      <w:r>
        <w:rPr>
          <w:sz w:val="20"/>
          <w:szCs w:val="20"/>
        </w:rPr>
        <w:t xml:space="preserve">, 368–389.</w:t>
      </w:r>
    </w:p>
    <w:p>
      <w:pPr>
        <w:numPr>
          <w:ilvl w:val="0"/>
          <w:numId w:val="2"/>
        </w:numPr>
        <w:spacing w:before="0" w:after="60" w:line="240" w:lineRule="auto"/>
        <w:ind w:left="454" w:hanging="454"/>
        <w:jc w:val="left"/>
      </w:pPr>
      <w:r>
        <w:rPr>
          <w:sz w:val="20"/>
          <w:szCs w:val="20"/>
        </w:rPr>
        <w:t xml:space="preserve">Pedrero, J. I., Sánchez-Espiga, J., Sánchez, M. B., Pleguezuelos, M., Fernández-del-Rincón, A., &amp; Viadero, F. (2024). Simulation and validation of the transmission error, meshing stiffness, and load sharing of planetary spur gear transmissions. </w:t>
      </w:r>
      <w:r>
        <w:rPr>
          <w:i/>
          <w:iCs/>
          <w:sz w:val="20"/>
          <w:szCs w:val="20"/>
        </w:rPr>
        <w:t xml:space="preserve">Mechanism and Machine Theory, 203</w:t>
      </w:r>
      <w:r>
        <w:rPr>
          <w:sz w:val="20"/>
          <w:szCs w:val="20"/>
        </w:rPr>
        <w:t xml:space="preserve">, 105800. https://doi.org/10.1016/j.mechmachtheory.2024.105800</w:t>
      </w:r>
    </w:p>
    <w:p>
      <w:pPr>
        <w:numPr>
          <w:ilvl w:val="0"/>
          <w:numId w:val="2"/>
        </w:numPr>
        <w:spacing w:before="0" w:after="60" w:line="240" w:lineRule="auto"/>
        <w:ind w:left="454" w:hanging="454"/>
        <w:jc w:val="left"/>
      </w:pPr>
      <w:r>
        <w:rPr>
          <w:sz w:val="20"/>
          <w:szCs w:val="20"/>
        </w:rPr>
        <w:t xml:space="preserve">Xiong, C., &amp; Chen, S. (2020). Experimental study of the effect of assembly error on the lightly loaded transmission error of spur gear with crown modification. </w:t>
      </w:r>
      <w:r>
        <w:rPr>
          <w:i/>
          <w:iCs/>
          <w:sz w:val="20"/>
          <w:szCs w:val="20"/>
        </w:rPr>
        <w:t xml:space="preserve">Journal of Low Frequency Noise, Vibration and Active Control, 39</w:t>
      </w:r>
      <w:r>
        <w:rPr>
          <w:sz w:val="20"/>
          <w:szCs w:val="20"/>
        </w:rPr>
        <w:t xml:space="preserve">(4), 1039–1051. https://doi.org/10.1177/1461348419854833</w:t>
      </w:r>
    </w:p>
    <w:p>
      <w:pPr>
        <w:numPr>
          <w:ilvl w:val="0"/>
          <w:numId w:val="2"/>
        </w:numPr>
        <w:spacing w:before="0" w:after="60" w:line="240" w:lineRule="auto"/>
        <w:ind w:left="454" w:hanging="454"/>
        <w:jc w:val="left"/>
      </w:pPr>
      <w:r>
        <w:rPr>
          <w:sz w:val="20"/>
          <w:szCs w:val="20"/>
        </w:rPr>
        <w:t xml:space="preserve">Kumar, P., &amp; Hirani, H. (2021). Misalignment effect on gearbox failure: An experimental study. </w:t>
      </w:r>
      <w:r>
        <w:rPr>
          <w:i/>
          <w:iCs/>
          <w:sz w:val="20"/>
          <w:szCs w:val="20"/>
        </w:rPr>
        <w:t xml:space="preserve">Measurement, 169</w:t>
      </w:r>
      <w:r>
        <w:rPr>
          <w:sz w:val="20"/>
          <w:szCs w:val="20"/>
        </w:rPr>
        <w:t xml:space="preserve">, 108492.</w:t>
      </w:r>
    </w:p>
    <w:p>
      <w:pPr>
        <w:numPr>
          <w:ilvl w:val="0"/>
          <w:numId w:val="2"/>
        </w:numPr>
        <w:spacing w:before="0" w:after="60" w:line="240" w:lineRule="auto"/>
        <w:ind w:left="454" w:hanging="454"/>
        <w:jc w:val="left"/>
      </w:pPr>
      <w:r>
        <w:rPr>
          <w:sz w:val="20"/>
          <w:szCs w:val="20"/>
        </w:rPr>
        <w:t xml:space="preserve">Hotait, M. A., Talbot, D., &amp; Kahraman, A. (2008). An investigation of the influence of shaft misalignment on bending stresses of helical gears with lead crown. </w:t>
      </w:r>
      <w:r>
        <w:rPr>
          <w:i/>
          <w:iCs/>
          <w:sz w:val="20"/>
          <w:szCs w:val="20"/>
        </w:rPr>
        <w:t xml:space="preserve">Gear Technology</w:t>
      </w:r>
      <w:r>
        <w:rPr>
          <w:sz w:val="20"/>
          <w:szCs w:val="20"/>
        </w:rPr>
        <w:t xml:space="preserve">, November/December, 54–62.</w:t>
      </w:r>
    </w:p>
    <w:sectPr w:rsidR="00687C80" w:rsidRPr="00687C80">
      <w:footerReference w:type="default" r:id="rId12"/>
      <w:pgSz w:w="11906" w:h="16838"/>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4758F" w:rsidRDefault="0044758F">
      <w:r>
        <w:separator/>
      </w:r>
    </w:p>
  </w:endnote>
  <w:endnote w:type="continuationSeparator" w:id="0">
    <w:p w:rsidR="0044758F" w:rsidRDefault="004475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2402" w:rsidRDefault="00AB52C0">
    <w:pPr>
      <w:jc w:val="center"/>
    </w:pPr>
    <w:r>
      <w:rPr>
        <w:sz w:val="18"/>
        <w:szCs w:val="18"/>
      </w:rPr>
      <w:fldChar w:fldCharType="begin"/>
    </w:r>
    <w:r>
      <w:rPr>
        <w:sz w:val="18"/>
        <w:szCs w:val="18"/>
      </w:rPr>
      <w:instrText>PAGE</w:instrText>
    </w:r>
    <w:r>
      <w:rPr>
        <w:sz w:val="18"/>
        <w:szCs w:val="18"/>
      </w:rPr>
      <w:fldChar w:fldCharType="separate"/>
    </w:r>
    <w:r w:rsidR="00CA2A9F">
      <w:rPr>
        <w:noProof/>
        <w:sz w:val="18"/>
        <w:szCs w:val="18"/>
      </w:rPr>
      <w:t>4</w:t>
    </w:r>
    <w:r>
      <w:rPr>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4758F" w:rsidRDefault="0044758F">
      <w:r>
        <w:separator/>
      </w:r>
    </w:p>
  </w:footnote>
  <w:footnote w:type="continuationSeparator" w:id="0">
    <w:p w:rsidR="0044758F" w:rsidRDefault="0044758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25447A"/>
    <w:multiLevelType w:val="multilevel"/>
    <w:tmpl w:val="5B1EF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9AB5C0E"/>
    <w:multiLevelType w:val="hybridMultilevel"/>
    <w:tmpl w:val="839A1BE6"/>
    <w:lvl w:ilvl="0" w:tplc="AF62D2C2">
      <w:start w:val="1"/>
      <w:numFmt w:val="bullet"/>
      <w:lvlText w:val="●"/>
      <w:lvlJc w:val="left"/>
      <w:pPr>
        <w:ind w:left="720" w:hanging="360"/>
      </w:pPr>
    </w:lvl>
    <w:lvl w:ilvl="1" w:tplc="01C43A4E">
      <w:start w:val="1"/>
      <w:numFmt w:val="bullet"/>
      <w:lvlText w:val="○"/>
      <w:lvlJc w:val="left"/>
      <w:pPr>
        <w:ind w:left="1440" w:hanging="360"/>
      </w:pPr>
    </w:lvl>
    <w:lvl w:ilvl="2" w:tplc="4EF46AE6">
      <w:start w:val="1"/>
      <w:numFmt w:val="bullet"/>
      <w:lvlText w:val="■"/>
      <w:lvlJc w:val="left"/>
      <w:pPr>
        <w:ind w:left="2160" w:hanging="360"/>
      </w:pPr>
    </w:lvl>
    <w:lvl w:ilvl="3" w:tplc="5448DA1E">
      <w:start w:val="1"/>
      <w:numFmt w:val="bullet"/>
      <w:lvlText w:val="●"/>
      <w:lvlJc w:val="left"/>
      <w:pPr>
        <w:ind w:left="2880" w:hanging="360"/>
      </w:pPr>
    </w:lvl>
    <w:lvl w:ilvl="4" w:tplc="490A684A">
      <w:start w:val="1"/>
      <w:numFmt w:val="bullet"/>
      <w:lvlText w:val="○"/>
      <w:lvlJc w:val="left"/>
      <w:pPr>
        <w:ind w:left="3600" w:hanging="360"/>
      </w:pPr>
    </w:lvl>
    <w:lvl w:ilvl="5" w:tplc="674E9CCA">
      <w:start w:val="1"/>
      <w:numFmt w:val="bullet"/>
      <w:lvlText w:val="■"/>
      <w:lvlJc w:val="left"/>
      <w:pPr>
        <w:ind w:left="4320" w:hanging="360"/>
      </w:pPr>
    </w:lvl>
    <w:lvl w:ilvl="6" w:tplc="85D859D0">
      <w:start w:val="1"/>
      <w:numFmt w:val="bullet"/>
      <w:lvlText w:val="●"/>
      <w:lvlJc w:val="left"/>
      <w:pPr>
        <w:ind w:left="5040" w:hanging="360"/>
      </w:pPr>
    </w:lvl>
    <w:lvl w:ilvl="7" w:tplc="1A823900">
      <w:start w:val="1"/>
      <w:numFmt w:val="bullet"/>
      <w:lvlText w:val="●"/>
      <w:lvlJc w:val="left"/>
      <w:pPr>
        <w:ind w:left="5760" w:hanging="360"/>
      </w:pPr>
    </w:lvl>
    <w:lvl w:ilvl="8" w:tplc="13C6F236">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2402"/>
    <w:rsid w:val="0044758F"/>
    <w:rsid w:val="00687C80"/>
    <w:rsid w:val="008A2402"/>
    <w:rsid w:val="00AB52C0"/>
    <w:rsid w:val="00CA2A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7898A87-6600-470A-834C-9AF5635A0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qFormat/>
    <w:pPr>
      <w:spacing w:before="240" w:after="120"/>
      <w:outlineLvl w:val="0"/>
    </w:pPr>
    <w:rPr>
      <w:b/>
      <w:bCs/>
      <w:sz w:val="24"/>
      <w:szCs w:val="24"/>
    </w:rPr>
  </w:style>
  <w:style w:type="paragraph" w:styleId="Balk2">
    <w:name w:val="heading 2"/>
    <w:qFormat/>
    <w:pPr>
      <w:spacing w:before="180" w:after="80"/>
      <w:outlineLvl w:val="1"/>
    </w:pPr>
    <w:rPr>
      <w:b/>
      <w:bCs/>
      <w:i/>
      <w:iCs/>
    </w:rPr>
  </w:style>
  <w:style w:type="paragraph" w:styleId="Balk3">
    <w:name w:val="heading 3"/>
    <w:qFormat/>
    <w:pPr>
      <w:outlineLvl w:val="2"/>
    </w:pPr>
    <w:rPr>
      <w:color w:val="1F4D78"/>
      <w:sz w:val="24"/>
      <w:szCs w:val="24"/>
    </w:rPr>
  </w:style>
  <w:style w:type="paragraph" w:styleId="Balk4">
    <w:name w:val="heading 4"/>
    <w:qFormat/>
    <w:pPr>
      <w:outlineLvl w:val="3"/>
    </w:pPr>
    <w:rPr>
      <w:i/>
      <w:iCs/>
      <w:color w:val="2E74B5"/>
    </w:rPr>
  </w:style>
  <w:style w:type="paragraph" w:styleId="Balk5">
    <w:name w:val="heading 5"/>
    <w:qFormat/>
    <w:pPr>
      <w:outlineLvl w:val="4"/>
    </w:pPr>
    <w:rPr>
      <w:color w:val="2E74B5"/>
    </w:rPr>
  </w:style>
  <w:style w:type="paragraph" w:styleId="Balk6">
    <w:name w:val="heading 6"/>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not Metni Char"/>
    <w:link w:val="SonnotMetni"/>
    <w:uiPriority w:val="99"/>
    <w:semiHidden/>
    <w:unhideWhenUsed/>
    <w:rPr>
      <w:sz w:val="20"/>
      <w:szCs w:val="20"/>
    </w:rPr>
  </w:style>
  <w:style w:type="paragraph" w:styleId="NormalWeb">
    <w:name w:val="Normal (Web)"/>
    <w:basedOn w:val="Normal"/>
    <w:uiPriority w:val="99"/>
    <w:semiHidden/>
    <w:unhideWhenUsed/>
    <w:rsid w:val="00687C80"/>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04769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6820</Words>
  <Characters>38878</Characters>
  <Application>Microsoft Office Word</Application>
  <DocSecurity>0</DocSecurity>
  <Lines>323</Lines>
  <Paragraphs>91</Paragraphs>
  <ScaleCrop>false</ScaleCrop>
  <Company/>
  <LinksUpToDate>false</LinksUpToDate>
  <CharactersWithSpaces>45607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Misalignment-Induced Load Redistribution in Gear Meshes: A Compliance-Ratio Analysis of Published Face-Width and Planetary Load-Sharing Experiments</dc:title>
  <dc:creator>Yunus Emre Karabacak</dc:creator>
  <cp:lastModifiedBy>Yunus Emre Karabacak</cp:lastModifiedBy>
  <cp:revision>4</cp:revision>
  <dcterms:created xsi:type="dcterms:W3CDTF">2026-09-25T19:19:00Z</dcterms:created>
  <dcterms:modified xsi:type="dcterms:W3CDTF">2026-09-25T20:01:00Z</dcterms:modified>
</cp:coreProperties>
</file>