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Security Architecture Review</w:t>
      </w:r>
    </w:p>
    <w:p>
      <w:pPr>
        <w:spacing w:before="0" w:after="80"/>
      </w:pPr>
      <w:r>
        <w:rPr>
          <w:rFonts w:ascii="Arial" w:cs="Arial" w:eastAsia="Arial" w:hAnsi="Arial"/>
          <w:b/>
          <w:bCs/>
          <w:color w:val="2E5496"/>
          <w:sz w:val="32"/>
          <w:szCs w:val="32"/>
        </w:rPr>
        <w:t xml:space="preserve">Planning Poker Web Application</w:t>
      </w:r>
    </w:p>
    <w:p>
      <w:pPr>
        <w:spacing w:before="0" w:after="320"/>
      </w:pPr>
      <w:r>
        <w:rPr>
          <w:rFonts w:ascii="Arial" w:cs="Arial" w:eastAsia="Arial" w:hAnsi="Arial"/>
          <w:color w:val="888888"/>
          <w:sz w:val="22"/>
          <w:szCs w:val="22"/>
        </w:rPr>
        <w:t xml:space="preserve">Conditional Approval Decision  ·  March 25, 2026</w:t>
      </w:r>
    </w:p>
    <w:p>
      <w:pPr>
        <w:pBdr>
          <w:bottom w:val="single" w:color="2E5496"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EF3FB" w:val="clear"/>
            <w:tcMar>
              <w:top w:type="dxa" w:w="80"/>
              <w:left w:type="dxa" w:w="120"/>
              <w:bottom w:type="dxa" w:w="80"/>
              <w:right w:type="dxa" w:w="120"/>
            </w:tcMar>
          </w:tcPr>
          <w:p>
            <w:r>
              <w:rPr>
                <w:b/>
                <w:bCs/>
                <w:color w:val="2E5496"/>
                <w:sz w:val="20"/>
                <w:szCs w:val="20"/>
              </w:rPr>
              <w:t xml:space="preserve">Application</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sz w:val="20"/>
                <w:szCs w:val="20"/>
              </w:rPr>
              <w:t xml:space="preserve">Planning Poker Web Application (HealthStream / CredentialStream)</w:t>
            </w:r>
          </w:p>
        </w:tc>
      </w:tr>
      <w:tr>
        <w:tc>
          <w:tcPr>
            <w:tcW w:type="dxa" w:w="2400"/>
            <w:tcBorders>
              <w:top w:val="none" w:color="FFFFFF" w:sz="0"/>
              <w:left w:val="none" w:color="FFFFFF" w:sz="0"/>
              <w:bottom w:val="none" w:color="FFFFFF" w:sz="0"/>
              <w:right w:val="none" w:color="FFFFFF" w:sz="0"/>
            </w:tcBorders>
            <w:shd w:fill="EEF3FB" w:val="clear"/>
            <w:tcMar>
              <w:top w:type="dxa" w:w="80"/>
              <w:left w:type="dxa" w:w="120"/>
              <w:bottom w:type="dxa" w:w="80"/>
              <w:right w:type="dxa" w:w="120"/>
            </w:tcMar>
          </w:tcPr>
          <w:p>
            <w:r>
              <w:rPr>
                <w:b/>
                <w:bCs/>
                <w:color w:val="2E5496"/>
                <w:sz w:val="20"/>
                <w:szCs w:val="20"/>
              </w:rPr>
              <w:t xml:space="preserve">Review Date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sz w:val="20"/>
                <w:szCs w:val="20"/>
              </w:rPr>
              <w:t xml:space="preserve">March 25, 2026</w:t>
            </w:r>
          </w:p>
        </w:tc>
      </w:tr>
      <w:tr>
        <w:tc>
          <w:tcPr>
            <w:tcW w:type="dxa" w:w="2400"/>
            <w:tcBorders>
              <w:top w:val="none" w:color="FFFFFF" w:sz="0"/>
              <w:left w:val="none" w:color="FFFFFF" w:sz="0"/>
              <w:bottom w:val="none" w:color="FFFFFF" w:sz="0"/>
              <w:right w:val="none" w:color="FFFFFF" w:sz="0"/>
            </w:tcBorders>
            <w:shd w:fill="EEF3FB" w:val="clear"/>
            <w:tcMar>
              <w:top w:type="dxa" w:w="80"/>
              <w:left w:type="dxa" w:w="120"/>
              <w:bottom w:type="dxa" w:w="80"/>
              <w:right w:type="dxa" w:w="120"/>
            </w:tcMar>
          </w:tcPr>
          <w:p>
            <w:r>
              <w:rPr>
                <w:b/>
                <w:bCs/>
                <w:color w:val="2E5496"/>
                <w:sz w:val="20"/>
                <w:szCs w:val="20"/>
              </w:rPr>
              <w:t xml:space="preserve">Hosting</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sz w:val="20"/>
                <w:szCs w:val="20"/>
              </w:rPr>
              <w:t xml:space="preserve">IIS on WEBQAVERITY01 (Internal Network Segment) · QA Database Server (TFS01)</w:t>
            </w:r>
          </w:p>
        </w:tc>
      </w:tr>
      <w:tr>
        <w:tc>
          <w:tcPr>
            <w:tcW w:type="dxa" w:w="2400"/>
            <w:tcBorders>
              <w:top w:val="none" w:color="FFFFFF" w:sz="0"/>
              <w:left w:val="none" w:color="FFFFFF" w:sz="0"/>
              <w:bottom w:val="none" w:color="FFFFFF" w:sz="0"/>
              <w:right w:val="none" w:color="FFFFFF" w:sz="0"/>
            </w:tcBorders>
            <w:shd w:fill="EEF3FB" w:val="clear"/>
            <w:tcMar>
              <w:top w:type="dxa" w:w="80"/>
              <w:left w:type="dxa" w:w="120"/>
              <w:bottom w:type="dxa" w:w="80"/>
              <w:right w:type="dxa" w:w="120"/>
            </w:tcMar>
          </w:tcPr>
          <w:p>
            <w:r>
              <w:rPr>
                <w:b/>
                <w:bCs/>
                <w:color w:val="2E5496"/>
                <w:sz w:val="20"/>
                <w:szCs w:val="20"/>
              </w:rPr>
              <w:t xml:space="preserve">Access URL</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sz w:val="20"/>
                <w:szCs w:val="20"/>
              </w:rPr>
              <w:t xml:space="preserve">qaverity.credentialstream.cloud (subfolder) · VPN + ASPECHO domain auth required</w:t>
            </w:r>
          </w:p>
        </w:tc>
      </w:tr>
      <w:tr>
        <w:tc>
          <w:tcPr>
            <w:tcW w:type="dxa" w:w="2400"/>
            <w:tcBorders>
              <w:top w:val="none" w:color="FFFFFF" w:sz="0"/>
              <w:left w:val="none" w:color="FFFFFF" w:sz="0"/>
              <w:bottom w:val="none" w:color="FFFFFF" w:sz="0"/>
              <w:right w:val="none" w:color="FFFFFF" w:sz="0"/>
            </w:tcBorders>
            <w:shd w:fill="EEF3FB" w:val="clear"/>
            <w:tcMar>
              <w:top w:type="dxa" w:w="80"/>
              <w:left w:type="dxa" w:w="120"/>
              <w:bottom w:type="dxa" w:w="80"/>
              <w:right w:type="dxa" w:w="120"/>
            </w:tcMar>
          </w:tcPr>
          <w:p>
            <w:r>
              <w:rPr>
                <w:b/>
                <w:bCs/>
                <w:color w:val="2E5496"/>
                <w:sz w:val="20"/>
                <w:szCs w:val="20"/>
              </w:rPr>
              <w:t xml:space="preserve">Decision</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C55A11"/>
                <w:sz w:val="20"/>
                <w:szCs w:val="20"/>
              </w:rPr>
              <w:t xml:space="preserve">CONDITIONAL APPROVAL</w:t>
            </w:r>
          </w:p>
        </w:tc>
      </w:tr>
    </w:tbl>
    <w:p>
      <w:pPr>
        <w:spacing w:before="80" w:after="80"/>
      </w:pPr>
      <w:r>
        <w:t xml:space="preserve"/>
      </w:r>
    </w:p>
    <w:p>
      <w:pPr>
        <w:pBdr>
          <w:bottom w:val="single" w:color="2E5496" w:sz="6" w:space="1"/>
        </w:pBdr>
        <w:spacing w:before="160" w:after="160"/>
      </w:pPr>
      <w:r>
        <w:t xml:space="preserve"/>
      </w:r>
    </w:p>
    <w:p>
      <w:pPr>
        <w:pStyle w:val="Heading1"/>
        <w:spacing w:before="320" w:after="160"/>
      </w:pPr>
      <w:r>
        <w:rPr>
          <w:b/>
          <w:bCs/>
          <w:color w:val="1F3864"/>
          <w:sz w:val="28"/>
          <w:szCs w:val="28"/>
        </w:rPr>
        <w:t xml:space="preserve">1. Approval Decision</w:t>
      </w:r>
    </w:p>
    <w:p>
      <w:pPr>
        <w:spacing w:before="80" w:after="80"/>
      </w:pPr>
      <w:r>
        <w:rPr>
          <w:sz w:val="22"/>
          <w:szCs w:val="22"/>
        </w:rPr>
        <w:t xml:space="preserve">Following a security architecture review of the Planning Poker Web Application, I am granting a Conditional Approval for this application to proceed to limited internal use. This approval is conditional upon the satisfaction of the mandatory requirements outlined in Section 2 below, which must be met prior to or at the time of production go-live.</w:t>
      </w:r>
    </w:p>
    <w:p>
      <w:pPr>
        <w:spacing w:before="80" w:after="80"/>
      </w:pPr>
      <w:r>
        <w:t xml:space="preserve"/>
      </w:r>
    </w:p>
    <w:p>
      <w:pPr>
        <w:spacing w:before="80" w:after="80"/>
      </w:pPr>
      <w:r>
        <w:rPr>
          <w:sz w:val="22"/>
          <w:szCs w:val="22"/>
        </w:rPr>
        <w:t xml:space="preserve">Additional recommended controls outlined in Section 3 are not blockers but must be addressed within an agreed timeframe post-deployment. This approval is scoped to the current architecture as reviewed and does not extend to future changes involving new data types, expanded user access, or changes to hosting infrastructure without a subsequent security review.</w:t>
      </w:r>
    </w:p>
    <w:p>
      <w:pPr>
        <w:spacing w:before="80" w:after="80"/>
      </w:pPr>
      <w:r>
        <w:t xml:space="preserve"/>
      </w:r>
    </w:p>
    <w:p>
      <w:pPr>
        <w:pBdr>
          <w:bottom w:val="single" w:color="2E5496" w:sz="6" w:space="1"/>
        </w:pBdr>
        <w:spacing w:before="160" w:after="160"/>
      </w:pPr>
      <w:r>
        <w:t xml:space="preserve"/>
      </w:r>
    </w:p>
    <w:p>
      <w:pPr>
        <w:pStyle w:val="Heading1"/>
        <w:spacing w:before="320" w:after="160"/>
      </w:pPr>
      <w:r>
        <w:rPr>
          <w:b/>
          <w:bCs/>
          <w:color w:val="1F3864"/>
          <w:sz w:val="28"/>
          <w:szCs w:val="28"/>
        </w:rPr>
        <w:t xml:space="preserve">2. Pre-Production Requirements (Mandatory)</w:t>
      </w:r>
    </w:p>
    <w:p>
      <w:pPr>
        <w:spacing w:before="80" w:after="80"/>
      </w:pPr>
      <w:r>
        <w:rPr>
          <w:sz w:val="22"/>
          <w:szCs w:val="22"/>
        </w:rPr>
        <w:t xml:space="preserve">The following requirements are mandatory and must be satisfied before the application goes into production. These are non-negotiable conditions of this approval.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8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w:t>
            </w:r>
          </w:p>
        </w:tc>
        <w:tc>
          <w:tcPr>
            <w:tcW w:type="dxa" w:w="6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1</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Implement application-layer logging (at minimum: source IP, timestamp, HTTP status codes, and session events) and configure ingestion into the Sentinel SIEM. Network-level logging via Palo Alto NVA alone is insufficient — app-layer forensic visibility is required before go-live.</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20"/>
                <w:szCs w:val="20"/>
              </w:rPr>
              <w:t xml:space="preserve">BLOCKER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2</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Enforce HTTPS-only access on the IIS binding. HTTP requests must be permanently redirected to HTTPS (301). TLS 1.2 minimum; TLS 1.3 preferred. Add HTTP Strict Transport Security (HSTS) response header.</w:t>
            </w:r>
          </w:p>
        </w:tc>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b/>
                <w:bCs/>
                <w:color w:val="FFFFFF"/>
                <w:sz w:val="20"/>
                <w:szCs w:val="20"/>
              </w:rPr>
              <w:t xml:space="preserve">REQUIRED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3</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Disable IIS default features not required by the application: directory browsing, default documents where not needed, unnecessary HTTP verbs (TRACE, OPTIONS), and detailed error messages visible to end users.</w:t>
            </w:r>
          </w:p>
        </w:tc>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b/>
                <w:bCs/>
                <w:color w:val="FFFFFF"/>
                <w:sz w:val="20"/>
                <w:szCs w:val="20"/>
              </w:rPr>
              <w:t xml:space="preserve">REQUIRED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4</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Confirm and document that the dedicated Windows service account used for database access is scoped to the minimum required permissions (read/write on application tables only). No SA, DBO-level, or shared service account access is permitted.</w:t>
            </w:r>
          </w:p>
        </w:tc>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b/>
                <w:bCs/>
                <w:color w:val="FFFFFF"/>
                <w:sz w:val="20"/>
                <w:szCs w:val="20"/>
              </w:rPr>
              <w:t xml:space="preserve">REQUIRED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5</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Session cookies (if used) must be set with HttpOnly, Secure, and SameSite=Strict flags. Session timeout must be enforced (recommended: 60 minutes of inactivity).</w:t>
            </w:r>
          </w:p>
        </w:tc>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b/>
                <w:bCs/>
                <w:color w:val="FFFFFF"/>
                <w:sz w:val="20"/>
                <w:szCs w:val="20"/>
              </w:rPr>
              <w:t xml:space="preserve">REQUIRED</w:t>
            </w:r>
          </w:p>
        </w:tc>
      </w:tr>
    </w:tbl>
    <w:p>
      <w:pPr>
        <w:spacing w:before="80" w:after="80"/>
      </w:pPr>
      <w:r>
        <w:t xml:space="preserve"/>
      </w:r>
    </w:p>
    <w:p>
      <w:pPr>
        <w:pBdr>
          <w:bottom w:val="single" w:color="2E5496" w:sz="6" w:space="1"/>
        </w:pBdr>
        <w:spacing w:before="160" w:after="160"/>
      </w:pPr>
      <w:r>
        <w:t xml:space="preserve"/>
      </w:r>
    </w:p>
    <w:p>
      <w:pPr>
        <w:pStyle w:val="Heading1"/>
        <w:spacing w:before="320" w:after="160"/>
      </w:pPr>
      <w:r>
        <w:rPr>
          <w:b/>
          <w:bCs/>
          <w:color w:val="1F3864"/>
          <w:sz w:val="28"/>
          <w:szCs w:val="28"/>
        </w:rPr>
        <w:t xml:space="preserve">3. Post-Deployment Recommendations</w:t>
      </w:r>
    </w:p>
    <w:p>
      <w:pPr>
        <w:spacing w:before="80" w:after="80"/>
      </w:pPr>
      <w:r>
        <w:rPr>
          <w:sz w:val="22"/>
          <w:szCs w:val="22"/>
        </w:rPr>
        <w:t xml:space="preserve">The following controls are not blockers but represent security best practice. These should be addressed within 60 days of go-live and tracked to completion.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800"/>
      </w:tblGrid>
      <w:tr>
        <w:trPr>
          <w:tblHeader/>
        </w:trPr>
        <w:tc>
          <w:tcPr>
            <w:tcW w:type="dxa" w:w="72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pPr>
              <w:jc w:val="center"/>
            </w:pPr>
            <w:r>
              <w:rPr>
                <w:b/>
                <w:bCs/>
                <w:color w:val="FFFFFF"/>
                <w:sz w:val="20"/>
                <w:szCs w:val="20"/>
              </w:rPr>
              <w:t xml:space="preserve">#</w:t>
            </w:r>
          </w:p>
        </w:tc>
        <w:tc>
          <w:tcPr>
            <w:tcW w:type="dxa" w:w="68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0"/>
                <w:szCs w:val="20"/>
              </w:rPr>
              <w:t xml:space="preserve">Recommendation</w:t>
            </w:r>
          </w:p>
        </w:tc>
        <w:tc>
          <w:tcPr>
            <w:tcW w:type="dxa" w:w="1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pPr>
              <w:jc w:val="center"/>
            </w:pPr>
            <w:r>
              <w:rPr>
                <w:b/>
                <w:bCs/>
                <w:color w:val="FFFFFF"/>
                <w:sz w:val="20"/>
                <w:szCs w:val="20"/>
              </w:rPr>
              <w:t xml:space="preserve">Timeline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1</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Evaluate moving session IDs out of the URL query string (?session=xxx). Query string session IDs are recorded in server logs, browser history, and referrer headers, increasing the risk of unintended session sharing or hijacking. Consider POST-based session joining or cookie-based session binding.</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b/>
                <w:bCs/>
                <w:color w:val="FFFFFF"/>
                <w:sz w:val="20"/>
                <w:szCs w:val="20"/>
              </w:rPr>
              <w:t xml:space="preserve">30 days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2</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Formally document the broad access scope (all ASPECHO domain users + VPN USERS domain) as an accepted risk, signed off by the application owner. This ensures the decision is intentional and auditable rather than an oversight.</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b/>
                <w:bCs/>
                <w:color w:val="FFFFFF"/>
                <w:sz w:val="20"/>
                <w:szCs w:val="20"/>
              </w:rPr>
              <w:t xml:space="preserve">30 days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3</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Investigate and document cookie scope isolation for the qaverity.credentialstream.cloud shared domain. Confirm that session cookies set by the Planning Poker application cannot bleed into other applications on the same domain, and that path scoping is correctly applied.</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b/>
                <w:bCs/>
                <w:color w:val="FFFFFF"/>
                <w:sz w:val="20"/>
                <w:szCs w:val="20"/>
              </w:rPr>
              <w:t xml:space="preserve">30 days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4</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Run an authenticated vulnerability scan against WEBQAVERITY01 before go-live and schedule recurring scans aligned to the organization's patch cycle. Ensure IIS and the underlying OS are current on patches.</w:t>
            </w:r>
          </w:p>
        </w:tc>
        <w:tc>
          <w:tcPr>
            <w:tcW w:type="dxa" w:w="1800"/>
            <w:tcBorders>
              <w:top w:val="single" w:color="CCCCCC" w:sz="1"/>
              <w:left w:val="single" w:color="CCCCCC" w:sz="1"/>
              <w:bottom w:val="single" w:color="CCCCCC" w:sz="1"/>
              <w:right w:val="single" w:color="CCCCCC" w:sz="1"/>
            </w:tcBorders>
            <w:shd w:fill="7F7F7F" w:val="clear"/>
            <w:tcMar>
              <w:top w:type="dxa" w:w="80"/>
              <w:left w:type="dxa" w:w="120"/>
              <w:bottom w:type="dxa" w:w="80"/>
              <w:right w:type="dxa" w:w="120"/>
            </w:tcMar>
          </w:tcPr>
          <w:p>
            <w:pPr>
              <w:jc w:val="center"/>
            </w:pPr>
            <w:r>
              <w:rPr>
                <w:b/>
                <w:bCs/>
                <w:color w:val="FFFFFF"/>
                <w:sz w:val="20"/>
                <w:szCs w:val="20"/>
              </w:rPr>
              <w:t xml:space="preserve">60 days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sz w:val="22"/>
                <w:szCs w:val="22"/>
              </w:rPr>
              <w:t xml:space="preserve">5</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Define and document a formal decommission or promotion-to-production plan for this application. QA-hosted tools have a tendency to persist indefinitely; a sunset date or criteria for promotion should be agreed and tracked.</w:t>
            </w:r>
          </w:p>
        </w:tc>
        <w:tc>
          <w:tcPr>
            <w:tcW w:type="dxa" w:w="1800"/>
            <w:tcBorders>
              <w:top w:val="single" w:color="CCCCCC" w:sz="1"/>
              <w:left w:val="single" w:color="CCCCCC" w:sz="1"/>
              <w:bottom w:val="single" w:color="CCCCCC" w:sz="1"/>
              <w:right w:val="single" w:color="CCCCCC" w:sz="1"/>
            </w:tcBorders>
            <w:shd w:fill="7F7F7F" w:val="clear"/>
            <w:tcMar>
              <w:top w:type="dxa" w:w="80"/>
              <w:left w:type="dxa" w:w="120"/>
              <w:bottom w:type="dxa" w:w="80"/>
              <w:right w:type="dxa" w:w="120"/>
            </w:tcMar>
          </w:tcPr>
          <w:p>
            <w:pPr>
              <w:jc w:val="center"/>
            </w:pPr>
            <w:r>
              <w:rPr>
                <w:b/>
                <w:bCs/>
                <w:color w:val="FFFFFF"/>
                <w:sz w:val="20"/>
                <w:szCs w:val="20"/>
              </w:rPr>
              <w:t xml:space="preserve">60 days</w:t>
            </w:r>
          </w:p>
        </w:tc>
      </w:tr>
    </w:tbl>
    <w:p>
      <w:pPr>
        <w:spacing w:before="80" w:after="80"/>
      </w:pPr>
      <w:r>
        <w:t xml:space="preserve"/>
      </w:r>
    </w:p>
    <w:p>
      <w:pPr>
        <w:pBdr>
          <w:bottom w:val="single" w:color="2E5496" w:sz="6" w:space="1"/>
        </w:pBdr>
        <w:spacing w:before="160" w:after="160"/>
      </w:pPr>
      <w:r>
        <w:t xml:space="preserve"/>
      </w:r>
    </w:p>
    <w:p>
      <w:pPr>
        <w:pStyle w:val="Heading1"/>
        <w:spacing w:before="320" w:after="160"/>
      </w:pPr>
      <w:r>
        <w:rPr>
          <w:b/>
          <w:bCs/>
          <w:color w:val="1F3864"/>
          <w:sz w:val="28"/>
          <w:szCs w:val="28"/>
        </w:rPr>
        <w:t xml:space="preserve">4. Controls Reviewed and Satisfied</w:t>
      </w:r>
    </w:p>
    <w:p>
      <w:pPr>
        <w:spacing w:before="80" w:after="80"/>
      </w:pPr>
      <w:r>
        <w:rPr>
          <w:sz w:val="22"/>
          <w:szCs w:val="22"/>
        </w:rPr>
        <w:t xml:space="preserve">The following security controls were reviewed during this assessment and are considered satisfied based on the responses received.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Control Area</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Authentication via ASPECHO domain + VPN enforced before application access</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b/>
                <w:bCs/>
                <w:color w:val="FFFFFF"/>
                <w:sz w:val="20"/>
                <w:szCs w:val="20"/>
              </w:rPr>
              <w:t xml:space="preserve">SATISFIED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Firewall allow-listing enforced via Palo Alto NVA</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b/>
                <w:bCs/>
                <w:color w:val="FFFFFF"/>
                <w:sz w:val="20"/>
                <w:szCs w:val="20"/>
              </w:rPr>
              <w:t xml:space="preserve">SATISFIED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Encrypted connection between application (Node.js) and database (SQL Server / TFS01)</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b/>
                <w:bCs/>
                <w:color w:val="FFFFFF"/>
                <w:sz w:val="20"/>
                <w:szCs w:val="20"/>
              </w:rPr>
              <w:t xml:space="preserve">SATISFIED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 hardcoded credentials — dedicated Windows service account with integrated security used for DB access</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b/>
                <w:bCs/>
                <w:color w:val="FFFFFF"/>
                <w:sz w:val="20"/>
                <w:szCs w:val="20"/>
              </w:rPr>
              <w:t xml:space="preserve">SATISFIED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Session data classification confirmed as non-confidential (session IDs, nicknames, sprint votes only)</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b/>
                <w:bCs/>
                <w:color w:val="FFFFFF"/>
                <w:sz w:val="20"/>
                <w:szCs w:val="20"/>
              </w:rPr>
              <w:t xml:space="preserve">SATISFIED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Authorization layer absence accepted — data classification does not warrant additional access controls</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b/>
                <w:bCs/>
                <w:color w:val="FFFFFF"/>
                <w:sz w:val="20"/>
                <w:szCs w:val="20"/>
              </w:rPr>
              <w:t xml:space="preserve">SATISFIED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Automatic session cleanup — inactive sessions cleared after 30 days</w:t>
            </w:r>
          </w:p>
        </w:tc>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b/>
                <w:bCs/>
                <w:color w:val="FFFFFF"/>
                <w:sz w:val="20"/>
                <w:szCs w:val="20"/>
              </w:rPr>
              <w:t xml:space="preserve">SATISFIED</w:t>
            </w:r>
          </w:p>
        </w:tc>
      </w:tr>
    </w:tbl>
    <w:p>
      <w:pPr>
        <w:spacing w:before="80" w:after="80"/>
      </w:pPr>
      <w:r>
        <w:t xml:space="preserve"/>
      </w:r>
    </w:p>
    <w:p>
      <w:pPr>
        <w:pBdr>
          <w:bottom w:val="single" w:color="2E5496" w:sz="6" w:space="1"/>
        </w:pBdr>
        <w:spacing w:before="160" w:after="160"/>
      </w:pPr>
      <w:r>
        <w:t xml:space="preserve"/>
      </w:r>
    </w:p>
    <w:p>
      <w:pPr>
        <w:pStyle w:val="Heading1"/>
        <w:spacing w:before="320" w:after="160"/>
      </w:pPr>
      <w:r>
        <w:rPr>
          <w:b/>
          <w:bCs/>
          <w:color w:val="1F3864"/>
          <w:sz w:val="28"/>
          <w:szCs w:val="28"/>
        </w:rPr>
        <w:t xml:space="preserve">5. Scope, Validity, and Re-Review Triggers</w:t>
      </w:r>
    </w:p>
    <w:p>
      <w:pPr>
        <w:spacing w:before="80" w:after="80"/>
      </w:pPr>
      <w:r>
        <w:rPr>
          <w:sz w:val="22"/>
          <w:szCs w:val="22"/>
        </w:rPr>
        <w:t xml:space="preserve">This approval is valid for the architecture as described and reviewed. A new security review must be initiated if any of the following conditions occur:</w:t>
      </w:r>
    </w:p>
    <w:p>
      <w:pPr>
        <w:spacing w:before="80" w:after="80"/>
      </w:pPr>
      <w:r>
        <w:t xml:space="preserve"/>
      </w:r>
    </w:p>
    <w:p>
      <w:pPr>
        <w:pStyle w:val="ListParagraph"/>
        <w:numPr>
          <w:ilvl w:val="0"/>
          <w:numId w:val="2"/>
        </w:numPr>
        <w:spacing w:before="60" w:after="60"/>
      </w:pPr>
      <w:r>
        <w:rPr>
          <w:b w:val="false"/>
          <w:bCs w:val="false"/>
          <w:sz w:val="22"/>
          <w:szCs w:val="22"/>
        </w:rPr>
        <w:t xml:space="preserve">The application is migrated from the QA environment to a dedicated production server or different network segment</w:t>
      </w:r>
    </w:p>
    <w:p>
      <w:pPr>
        <w:pStyle w:val="ListParagraph"/>
        <w:numPr>
          <w:ilvl w:val="0"/>
          <w:numId w:val="2"/>
        </w:numPr>
        <w:spacing w:before="60" w:after="60"/>
      </w:pPr>
      <w:r>
        <w:rPr>
          <w:b w:val="false"/>
          <w:bCs w:val="false"/>
          <w:sz w:val="22"/>
          <w:szCs w:val="22"/>
        </w:rPr>
        <w:t xml:space="preserve">New data types are introduced — particularly any personally identifiable information (PII), credentials, or data classified above public/internal</w:t>
      </w:r>
    </w:p>
    <w:p>
      <w:pPr>
        <w:pStyle w:val="ListParagraph"/>
        <w:numPr>
          <w:ilvl w:val="0"/>
          <w:numId w:val="2"/>
        </w:numPr>
        <w:spacing w:before="60" w:after="60"/>
      </w:pPr>
      <w:r>
        <w:rPr>
          <w:b w:val="false"/>
          <w:bCs w:val="false"/>
          <w:sz w:val="22"/>
          <w:szCs w:val="22"/>
        </w:rPr>
        <w:t xml:space="preserve">The application is made accessible to users outside of the ASPECHO domain or VPN access boundary</w:t>
      </w:r>
    </w:p>
    <w:p>
      <w:pPr>
        <w:pStyle w:val="ListParagraph"/>
        <w:numPr>
          <w:ilvl w:val="0"/>
          <w:numId w:val="2"/>
        </w:numPr>
        <w:spacing w:before="60" w:after="60"/>
      </w:pPr>
      <w:r>
        <w:rPr>
          <w:b w:val="false"/>
          <w:bCs w:val="false"/>
          <w:sz w:val="22"/>
          <w:szCs w:val="22"/>
        </w:rPr>
        <w:t xml:space="preserve">The hosting domain changes, or the application is promoted to a dedicated public domain (e.g., planningpoker.credentialstream.cloud)</w:t>
      </w:r>
    </w:p>
    <w:p>
      <w:pPr>
        <w:pStyle w:val="ListParagraph"/>
        <w:numPr>
          <w:ilvl w:val="0"/>
          <w:numId w:val="2"/>
        </w:numPr>
        <w:spacing w:before="60" w:after="60"/>
      </w:pPr>
      <w:r>
        <w:rPr>
          <w:b w:val="false"/>
          <w:bCs w:val="false"/>
          <w:sz w:val="22"/>
          <w:szCs w:val="22"/>
        </w:rPr>
        <w:t xml:space="preserve">A security incident or vulnerability is identified that affects this application or its hosting infrastructure</w:t>
      </w:r>
    </w:p>
    <w:p>
      <w:pPr>
        <w:spacing w:before="80" w:after="80"/>
      </w:pPr>
      <w:r>
        <w:t xml:space="preserve"/>
      </w:r>
    </w:p>
    <w:p>
      <w:pPr>
        <w:spacing w:before="80" w:after="80"/>
      </w:pPr>
      <w:r>
        <w:rPr>
          <w:sz w:val="22"/>
          <w:szCs w:val="22"/>
        </w:rPr>
        <w:t xml:space="preserve">Failure to initiate a re-review under the above conditions will invalidate this approval.</w:t>
      </w:r>
    </w:p>
    <w:p>
      <w:pPr>
        <w:spacing w:before="80" w:after="80"/>
      </w:pPr>
      <w:r>
        <w:t xml:space="preserve"/>
      </w:r>
    </w:p>
    <w:p>
      <w:pPr>
        <w:pBdr>
          <w:bottom w:val="single" w:color="2E5496" w:sz="6" w:space="1"/>
        </w:pBdr>
        <w:spacing w:before="160" w:after="160"/>
      </w:pPr>
      <w:r>
        <w:t xml:space="preserve"/>
      </w:r>
    </w:p>
    <w:p>
      <w:pPr>
        <w:pStyle w:val="Heading1"/>
        <w:spacing w:before="320" w:after="160"/>
      </w:pPr>
      <w:r>
        <w:rPr>
          <w:b/>
          <w:bCs/>
          <w:color w:val="1F3864"/>
          <w:sz w:val="28"/>
          <w:szCs w:val="28"/>
        </w:rPr>
        <w:t xml:space="preserve">6. Reviewer Sign-Off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pBdr>
                <w:bottom w:val="single" w:color="333333" w:sz="4" w:space="1"/>
              </w:pBdr>
              <w:spacing w:before="400" w:after="80"/>
            </w:pPr>
            <w:r>
              <w:t xml:space="preserve"/>
            </w:r>
          </w:p>
          <w:p>
            <w:r>
              <w:rPr>
                <w:color w:val="666666"/>
                <w:sz w:val="18"/>
                <w:szCs w:val="18"/>
              </w:rPr>
              <w:t xml:space="preserve">Security Architect Signature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pPr>
              <w:pBdr>
                <w:bottom w:val="single" w:color="333333" w:sz="4" w:space="1"/>
              </w:pBdr>
              <w:spacing w:before="400" w:after="80"/>
            </w:pPr>
            <w:r>
              <w:rPr>
                <w:color w:val="333333"/>
                <w:sz w:val="22"/>
                <w:szCs w:val="22"/>
              </w:rPr>
              <w:t xml:space="preserve">March 25, 2026</w:t>
            </w:r>
          </w:p>
          <w:p>
            <w:r>
              <w:rPr>
                <w:color w:val="666666"/>
                <w:sz w:val="18"/>
                <w:szCs w:val="18"/>
              </w:rPr>
              <w:t xml:space="preserve">Date</w:t>
            </w:r>
          </w:p>
        </w:tc>
      </w:tr>
      <w:tr>
        <w:tc>
          <w:tcPr>
            <w:tcW w:type="dxa" w:w="468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333333" w:sz="4" w:space="1"/>
              </w:pBdr>
              <w:spacing w:before="400" w:after="80"/>
            </w:pPr>
            <w:r>
              <w:t xml:space="preserve"/>
            </w:r>
          </w:p>
          <w:p>
            <w:r>
              <w:rPr>
                <w:color w:val="666666"/>
                <w:sz w:val="18"/>
                <w:szCs w:val="18"/>
              </w:rPr>
              <w:t xml:space="preserve">Application Owner Acknowledgement</w:t>
            </w:r>
          </w:p>
        </w:tc>
        <w:tc>
          <w:tcPr>
            <w:tcW w:type="dxa" w:w="468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333333" w:sz="4" w:space="1"/>
              </w:pBdr>
              <w:spacing w:before="400" w:after="80"/>
            </w:pPr>
            <w:r>
              <w:t xml:space="preserve"/>
            </w:r>
          </w:p>
          <w:p>
            <w:r>
              <w:rPr>
                <w:color w:val="666666"/>
                <w:sz w:val="18"/>
                <w:szCs w:val="18"/>
              </w:rPr>
              <w:t xml:space="preserve">Date</w:t>
            </w:r>
          </w:p>
        </w:tc>
      </w:tr>
    </w:tbl>
    <w:p>
      <w:pPr>
        <w:spacing w:before="80" w:after="80"/>
      </w:pPr>
      <w:r>
        <w:t xml:space="preserve"/>
      </w:r>
    </w:p>
    <w:p>
      <w:pPr>
        <w:spacing w:before="80" w:after="80"/>
      </w:pPr>
      <w:r>
        <w:t xml:space="preserve"/>
      </w:r>
    </w:p>
    <w:p>
      <w:pPr>
        <w:jc w:val="center"/>
      </w:pPr>
      <w:r>
        <w:rPr>
          <w:i/>
          <w:iCs/>
          <w:color w:val="888888"/>
          <w:sz w:val="18"/>
          <w:szCs w:val="18"/>
        </w:rPr>
        <w:t xml:space="preserve">This document is classified as INTERNAL USE ONLY and should not be distributed outside of the security and engineering teams.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4"/>
      </w:pBdr>
      <w:tabs>
        <w:tab w:val="right" w:pos="9026"/>
      </w:tabs>
      <w:spacing w:before="200"/>
    </w:pPr>
    <w:r>
      <w:rPr>
        <w:rFonts w:ascii="Arial" w:cs="Arial" w:eastAsia="Arial" w:hAnsi="Arial"/>
        <w:color w:val="666666"/>
        <w:sz w:val="18"/>
        <w:szCs w:val="18"/>
      </w:rPr>
      <w:t xml:space="preserve">CONFIDENTIAL — INTERNAL USE ONLY</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spacing w:after="200"/>
    </w:pPr>
    <w:r>
      <w:rPr>
        <w:rFonts w:ascii="Arial" w:cs="Arial" w:eastAsia="Arial" w:hAnsi="Arial"/>
        <w:b/>
        <w:bCs/>
        <w:color w:val="2E5496"/>
        <w:sz w:val="20"/>
        <w:szCs w:val="20"/>
      </w:rPr>
      <w:t xml:space="preserve">SECURITY ARCHITECTURE REVIEW</w:t>
    </w:r>
    <w:r>
      <w:rPr>
        <w:rFonts w:ascii="Arial" w:cs="Arial" w:eastAsia="Arial" w:hAnsi="Arial"/>
        <w:color w:val="666666"/>
        <w:sz w:val="20"/>
        <w:szCs w:val="20"/>
      </w:rPr>
      <w:t xml:space="preserve">   |   Planning Poker Web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2026-03-25T01:10:51.609Z</dcterms:created>
  <dcterms:modified xsi:type="dcterms:W3CDTF">2026-03-25T01:10:51.609Z</dcterms:modified>
</cp:coreProperties>
</file>

<file path=docProps/custom.xml><?xml version="1.0" encoding="utf-8"?>
<Properties xmlns="http://schemas.openxmlformats.org/officeDocument/2006/custom-properties" xmlns:vt="http://schemas.openxmlformats.org/officeDocument/2006/docPropsVTypes"/>
</file>