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 w:val="0"/>
          <w:sz w:val="52"/>
        </w:rPr>
        <w:t>Геометрия E5: до и после</w:t>
      </w:r>
    </w:p>
    <w:p>
      <w:pPr>
        <w:pStyle w:val="Subtitle"/>
      </w:pPr>
      <w:r>
        <w:rPr>
          <w:b w:val="0"/>
        </w:rPr>
        <w:t>Исследовательский отчёт • WildGuardTest • 18 октября 2026</w:t>
      </w:r>
    </w:p>
    <w:p>
      <w:pPr>
        <w:pStyle w:val="ReportSmall"/>
      </w:pPr>
      <w:r>
        <w:rPr>
          <w:b w:val="0"/>
        </w:rPr>
        <w:t>Сравнение исходного intfloat/e5-small-v2 с опубликованными CE и CE+SupCon на одних 1 699 запросах. «До» означает предобученный E5 до адаптации к safety-задаче. Основное «после» — CE+SupCon; CE служит отдельным контролем. Это три состояния моделей, а не последовательные этапы одного прогона.</w:t>
      </w:r>
    </w:p>
    <w:p>
      <w:pPr>
        <w:pStyle w:val="Heading2"/>
      </w:pPr>
      <w:r>
        <w:t>1. Все метрики: сводная таблица</w:t>
      </w:r>
    </w:p>
    <w:p>
      <w:pPr>
        <w:pStyle w:val="ReportSmall"/>
      </w:pPr>
      <w:r>
        <w:rPr>
          <w:b w:val="0"/>
        </w:rPr>
        <w:t>Часть A. Глобальная форма пространства и разделение классов. Все векторы L2-нормированы; размерность — 384. Δ — разность CE+SupCon и E5.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650"/>
        <w:gridCol w:w="1300"/>
        <w:gridCol w:w="1300"/>
        <w:gridCol w:w="1550"/>
        <w:gridCol w:w="1560"/>
      </w:tblGrid>
      <w:tr>
        <w:trPr>
          <w:cantSplit/>
          <w:tblHeader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/>
              </w:rPr>
              <w:t>Метрика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E5 до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После CE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После</w:t>
              <w:br/>
              <w:t>CE+SupCon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Δ CE+SupCon</w:t>
              <w:br/>
              <w:t>к E5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Доля дисперсии PC1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7,07%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64,55%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81,76%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+74,69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Participation ratio, PR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80,62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2,38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1,50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−79,12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Энтропийный эффективный ранг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181,51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10,04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4,05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−177,46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Компонент для 90% дисперсии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217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58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27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−190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Общий разброс: trace ковариации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0,2011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0,7464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0,1426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−0,0585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Локальная размерность TwoNN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17,17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15,61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15,85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−1,31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Средний попарный косинус, точный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0,7988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0,2531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0,8573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+0,0585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Средний косинус, 100 000 пар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0,7987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0,2515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0,8569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+0,0582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Косинус внутри safe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0,7948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0,6246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0,9520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+0,1571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Косинус внутри harmful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0,8074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0,4038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0,8896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+0,0822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Косинус между классами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0,7978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−0,0394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0,7851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−0,0126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Косинусный разрыв, macro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0,0033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0,5536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0,1356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+0,1323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Внутриклассовая дистанция², macro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0,3978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0,9717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0,1584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−0,2393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Uniformity, t = 2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−0,7938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−1,6341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−0,4539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+0,3398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Silhouette по cosine distance, macro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0,0163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0,4648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0,5251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+0,5089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Silhouette по cosine distance, micro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0,0126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0,4807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0,5486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+0,5360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Внутриклассовый разброс W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0,1994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0,4729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0,0756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−0,1237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Межклассовый разброс B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0,0018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0,2736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0,0670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+0,0652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Отношение B / W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0,0089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0,5786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0,8862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+0,8773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Косинус нормированных центроидов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0,9956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−0,0784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0,8531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−0,1425</w:t>
            </w:r>
          </w:p>
        </w:tc>
      </w:tr>
    </w:tbl>
    <w:p>
      <w:pPr>
        <w:pStyle w:val="ReportSource"/>
      </w:pPr>
      <w:r>
        <w:rPr>
          <w:b w:val="0"/>
        </w:rPr>
        <w:t>Источники: S1–S3. * Дополнительно пересчитано из сохранённых эмбеддингов. Исходные 13 метрик × 3 модели воспроизведены: максимальное абсолютное расхождение 2,84 × 10⁻¹⁴. PR и энтропийный ранг — разные определения.</w:t>
      </w:r>
    </w:p>
    <w:p>
      <w:pPr>
        <w:pStyle w:val="Heading1"/>
        <w:pageBreakBefore/>
        <w:spacing w:before="0"/>
      </w:pPr>
      <w:r>
        <w:t>Сводная таблица — продолжение</w:t>
      </w:r>
    </w:p>
    <w:p>
      <w:pPr>
        <w:pStyle w:val="ReportSmall"/>
      </w:pPr>
      <w:r>
        <w:rPr>
          <w:b w:val="0"/>
        </w:rPr>
        <w:t>Часть B. Локальные окрестности. Purity — доля соседей с той же safety-меткой; macro даёт равный вес двум классам, micro — каждому запросу.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650"/>
        <w:gridCol w:w="1300"/>
        <w:gridCol w:w="1300"/>
        <w:gridCol w:w="1550"/>
        <w:gridCol w:w="1560"/>
      </w:tblGrid>
      <w:tr>
        <w:trPr>
          <w:cantSplit/>
          <w:tblHeader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/>
              </w:rPr>
              <w:t>Метрика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E5 до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После CE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После</w:t>
              <w:br/>
              <w:t>CE+SupCon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Δ CE+SupCon</w:t>
              <w:br/>
              <w:t>к E5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kNN-purity@1, macro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77,67%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85,76%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86,16%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+8,48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kNN-purity@5, macro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72,07%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84,77%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84,53%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+12,46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kNN-purity@10, macro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69,27%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84,42%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84,33%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+15,05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kNN-purity@20, macro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66,46%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83,96%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83,64%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+17,18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kNN-purity@50, macro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62,22%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83,46%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83,07%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+20,85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kNN-purity@100, macro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59,29%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83,14%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82,76%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+23,47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kNN-purity@10: safe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63,23%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88,21%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87,26%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+24,03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kNN-purity@10: harmful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75,32%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80,62%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81,39%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+6,07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kNN-purity@10, micro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68,59%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84,84%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84,66%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+16,06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Сосед другого класса ближе своего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22,72%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14,01%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13,54%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−9,18 п,п,</w:t>
            </w:r>
          </w:p>
        </w:tc>
      </w:tr>
      <w:tr>
        <w:trPr>
          <w:cantSplit/>
        </w:trPr>
        <w:tc>
          <w:tcPr>
            <w:tcW w:type="dxa" w:w="365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Асимметрия числа вхождений в kNN *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3,39</w:t>
            </w:r>
          </w:p>
        </w:tc>
        <w:tc>
          <w:tcPr>
            <w:tcW w:type="dxa" w:w="13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1,93</w:t>
            </w:r>
          </w:p>
        </w:tc>
        <w:tc>
          <w:tcPr>
            <w:tcW w:type="dxa" w:w="155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2,51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−0,88</w:t>
            </w:r>
          </w:p>
        </w:tc>
      </w:tr>
    </w:tbl>
    <w:p>
      <w:pPr>
        <w:pStyle w:val="ReportSource"/>
      </w:pPr>
      <w:r>
        <w:rPr>
          <w:b w:val="0"/>
        </w:rPr>
        <w:t>Источники: S2–S3. * Единый пересчёт для всех трёх моделей. Условие «другой класс ближе» использует строгое сравнение расстояний. При равных расстояниях порядок соседей может менять последние знаки.</w:t>
      </w:r>
    </w:p>
    <w:p>
      <w:pPr>
        <w:pStyle w:val="Heading2"/>
      </w:pPr>
      <w:r>
        <w:t>Как читать сводку</w:t>
      </w:r>
    </w:p>
    <w:p>
      <w:r>
        <w:rPr>
          <w:b w:val="0"/>
        </w:rPr>
        <w:t>Основной результат — рост однородности соседей по safety-метке: 69,27% → 84,33% при k = 10, или +15,05 процентного пункта. Случайный macro-уровень с учётом исключения самого объекта составляет 49,97%.</w:t>
      </w:r>
    </w:p>
    <w:p>
      <w:r>
        <w:rPr>
          <w:b w:val="0"/>
        </w:rPr>
        <w:t>Одновременно вариация стала значительно сильнее сосредоточена вдоль нескольких направлений: PC1 выросла с 7,07% до 81,76%, PR снизился с 80,62 до 1,50. Эти изменения описывают форму пространства; сами по себе они не означают ни улучшения всей семантики, ни её утраты.</w:t>
      </w:r>
    </w:p>
    <w:p>
      <w:r>
        <w:rPr>
          <w:b w:val="0"/>
        </w:rPr>
        <w:t>CE и CE+SupCon почти совпадают по purity@10: 84,42% и 84,33%. Разность −0,09 п.п. не даёт основания заявить преимущество SupCon по этой метрике. При этом глобальные косинусы и компактность существенно различаются.</w:t>
      </w:r>
    </w:p>
    <w:p>
      <w:pPr>
        <w:pStyle w:val="Heading1"/>
        <w:pageBreakBefore/>
        <w:spacing w:before="0"/>
      </w:pPr>
      <w:r>
        <w:t>Геометрия внутри каждого класса</w:t>
      </w:r>
    </w:p>
    <w:p>
      <w:pPr>
        <w:pStyle w:val="ReportSmall"/>
      </w:pPr>
      <w:r>
        <w:rPr>
          <w:b w:val="0"/>
        </w:rPr>
        <w:t>Таблица 2. Ковариация центрируется отдельно внутри safe и harmful. Это позволяет отличить разделение двух облаков от изменения формы каждого облака.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080"/>
        <w:gridCol w:w="1680"/>
        <w:gridCol w:w="1680"/>
        <w:gridCol w:w="1920"/>
      </w:tblGrid>
      <w:tr>
        <w:trPr>
          <w:cantSplit/>
          <w:tblHeader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/>
              </w:rPr>
              <w:t>Класс и метрика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E5 до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После CE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После CE+SupCon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Доля PC1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7,34%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34,49%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50,25%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PR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72,79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7,87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3,91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Энтропийный ранг *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163,51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42,50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24,12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Компонент для 90% *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192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107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109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Trace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0,2049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0,3750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0,0480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Средний косинус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0,7948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0,6246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0,9520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TwoNN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15,10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13,57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12,97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safe, n = 945</w:t>
              <w:br/>
              <w:t>Uniformity, t=2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−0,8099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−1,0652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−0,1680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Доля PC1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6,97%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55,25%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75,15%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PR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73,08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3,21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1,77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Энтропийный ранг *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159,53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14,41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5,86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Компонент для 90% *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185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61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41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Trace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0,1924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0,5954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0,1103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Средний косинус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0,8074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0,4038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0,8896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TwoNN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20,53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17,50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20,54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harmful, n = 754</w:t>
              <w:br/>
              <w:t>Uniformity, t=2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−0,7593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−1,3313</w:t>
            </w:r>
          </w:p>
        </w:tc>
        <w:tc>
          <w:tcPr>
            <w:tcW w:type="dxa" w:w="19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−0,3628</w:t>
            </w:r>
          </w:p>
        </w:tc>
      </w:tr>
    </w:tbl>
    <w:p>
      <w:pPr>
        <w:pStyle w:val="ReportSource"/>
      </w:pPr>
      <w:r>
        <w:rPr>
          <w:b w:val="0"/>
        </w:rPr>
        <w:t>Источники: S1–S3. Для всех групп доля невалидных наблюдений TwoNN равна 0. * Пересчёт отчёта.</w:t>
      </w:r>
    </w:p>
    <w:p>
      <w:pPr>
        <w:pStyle w:val="ReportSmall"/>
      </w:pPr>
      <w:r>
        <w:rPr>
          <w:b w:val="0"/>
        </w:rPr>
        <w:t>У CE+SupCon относительно E5 trace уменьшается на 76,59% внутри safe и на 42,68% внутри harmful. PR снижается на 94,63% и 97,58% соответственно. У CE trace, напротив, выше исходного в обоих классах. Следовательно, «дообучение сжимает облака» верно здесь для CE+SupCon и не является общим утверждением обо всех objective.</w:t>
      </w:r>
    </w:p>
    <w:p>
      <w:pPr>
        <w:pStyle w:val="Heading1"/>
        <w:pageBreakBefore/>
        <w:spacing w:before="0"/>
      </w:pPr>
      <w:r>
        <w:t>2. Основные графики до / после</w:t>
      </w:r>
    </w:p>
    <w:p>
      <w:pPr>
        <w:pStyle w:val="ReportSmall"/>
      </w:pPr>
      <w:r>
        <w:rPr>
          <w:b w:val="0"/>
        </w:rPr>
        <w:t>На исходных рисунках base = E5 до адаптации, finetuned = CE+SupCon. CE показан в сводных таблицах и отдельной диагностике PC1.</w:t>
      </w:r>
    </w:p>
    <w:p>
      <w:pPr>
        <w:pStyle w:val="ReportCaption"/>
        <w:keepNext/>
      </w:pPr>
      <w:r>
        <w:rPr>
          <w:b/>
        </w:rPr>
        <w:t>Рисунок 1. Обзор изменения геометрии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 descr="Обзор изменения геометрии. Исходный график S1. Рост purity сопровождается снижением PR и внутриклассовой дистанции. Здесь средний косинус оценён по случайным парам; в таблице также приведено точное знач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metrics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S1. Рост purity сопровождается снижением PR и внутриклассовой дистанции. Здесь средний косинус оценён по случайным парам; в таблице также приведено точное значение.</w:t>
      </w:r>
    </w:p>
    <w:p>
      <w:pPr>
        <w:pStyle w:val="ReportCaption"/>
        <w:keepNext/>
      </w:pPr>
      <w:r>
        <w:rPr>
          <w:b/>
        </w:rPr>
        <w:t>Рисунок 2. Компактность и форма классов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698171"/>
            <wp:docPr id="2" name="Picture 2" descr="Компактность и форма классов. Исходный график S1. Внутриклассовые косинусы возрастают, а PR и trace уменьшаются. Изменение сильнее для safe по абсолютному сжатию и для harmful по концентрации спектр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geometry_befor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S1. Внутриклассовые косинусы возрастают, а PR и trace уменьшаются. Изменение сильнее для safe по абсолютному сжатию и для harmful по концентрации спектра.</w:t>
      </w:r>
    </w:p>
    <w:p>
      <w:pPr>
        <w:pStyle w:val="Heading1"/>
        <w:pageBreakBefore/>
        <w:spacing w:before="0"/>
      </w:pPr>
      <w:r>
        <w:t>Спектр и устойчивость соседств</w:t>
      </w:r>
    </w:p>
    <w:p>
      <w:pPr>
        <w:pStyle w:val="ReportCaption"/>
        <w:keepNext/>
      </w:pPr>
      <w:r>
        <w:rPr>
          <w:b/>
        </w:rPr>
        <w:t>Рисунок 3. Попарные косинусы и накопленная дисперсия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3169920"/>
            <wp:docPr id="3" name="Picture 3" descr="Попарные косинусы и накопленная дисперсия. Исходный график S1: сверху распределения косинусов, снизу накопленная доля дисперсии. После CE+SupCon основная вариация сосредоточена в первых компонентах; остаточная многомерная структура сохраняетс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ines_and_spec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S1: сверху распределения косинусов, снизу накопленная доля дисперсии. После CE+SupCon основная вариация сосредоточена в первых компонентах; остаточная многомерная структура сохраняется.</w:t>
      </w:r>
    </w:p>
    <w:p>
      <w:pPr>
        <w:pStyle w:val="ReportCaption"/>
        <w:keepNext/>
      </w:pPr>
      <w:r>
        <w:rPr>
          <w:b/>
        </w:rPr>
        <w:t>Рисунок 4. Эффект сохраняется при изменении k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748118"/>
            <wp:docPr id="4" name="Picture 4" descr="Эффект сохраняется при изменении k. Исходный график S1. CE+SupCon выше E5 для каждого k от 1 до 100: прирост macro-purity от 8,48 до 23,47 п.п. Пунктир около 0,5 — ожидаемый случайный уровень, не доверительный интерва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purity_vs_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S1. CE+SupCon выше E5 для каждого k от 1 до 100: прирост macro-purity от 8,48 до 23,47 п.п. Пунктир около 0,5 — ожидаемый случайный уровень, не доверительный интервал.</w:t>
      </w:r>
    </w:p>
    <w:p>
      <w:pPr>
        <w:pStyle w:val="Heading1"/>
        <w:pageBreakBefore/>
        <w:spacing w:before="0"/>
      </w:pPr>
      <w:r>
        <w:t>Две PCA-визуализации одних текстов</w:t>
      </w:r>
    </w:p>
    <w:p>
      <w:pPr>
        <w:pStyle w:val="ReportCaption"/>
        <w:keepNext/>
      </w:pPr>
      <w:r>
        <w:rPr>
          <w:b/>
        </w:rPr>
        <w:t>Рисунок 5. Общая плоскость для двух моделей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2514600"/>
            <wp:docPr id="5" name="Picture 5" descr="Общая плоскость для двух моделей. Исходный график S1. Общая плоскость показывает лишь 1,47% внутримодельной вариации E5 и 81,79% CE+SupCon. Маленькое облако E5 в этой проекции не означает меньший полный разброс. Положение центров между моделями зависит от выбранных координа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catter_before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S1. Общая плоскость показывает лишь 1,47% внутримодельной вариации E5 и 81,79% CE+SupCon. Маленькое облако E5 в этой проекции не означает меньший полный разброс. Положение центров между моделями зависит от выбранных координат.</w:t>
      </w:r>
    </w:p>
    <w:p>
      <w:pPr>
        <w:pStyle w:val="ReportCaption"/>
        <w:keepNext/>
      </w:pPr>
      <w:r>
        <w:rPr>
          <w:b/>
        </w:rPr>
        <w:t>Рисунок 6. Отдельная PCA для каждой модели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2514600"/>
            <wp:docPr id="6" name="Picture 6" descr="Отдельная PCA для каждой модели. Исходный график S1. Собственные первые две компоненты объясняют 10,40% вариации E5 и 82,74% CE+SupCon. Оси и масштабы двух панелей различаются; метрические выводы делаются по 384D-таблица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catter_separate_ax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S1. Собственные первые две компоненты объясняют 10,40% вариации E5 и 82,74% CE+SupCon. Оси и масштабы двух панелей различаются; метрические выводы делаются по 384D-таблицам.</w:t>
      </w:r>
    </w:p>
    <w:p>
      <w:pPr>
        <w:pStyle w:val="Heading1"/>
        <w:pageBreakBefore/>
        <w:spacing w:before="0"/>
      </w:pPr>
      <w:r>
        <w:t>Что отражает первая компонента</w:t>
      </w:r>
    </w:p>
    <w:p>
      <w:pPr>
        <w:pStyle w:val="ReportCaption"/>
        <w:keepNext/>
      </w:pPr>
      <w:r>
        <w:rPr>
          <w:b/>
        </w:rPr>
        <w:t>Рисунок 7. Связь PC1 с safety-меткой и длиной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3169920"/>
            <wp:docPr id="7" name="Picture 7" descr="Связь PC1 с safety-меткой и длиной. Исходный график S4. PCA рассчитана отдельно для каждой модели. Знак оси развёрнут так, чтобы средняя координата harmful была выше; абсолютный знак PCA не имеет самостоятельного смысл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1_label_and_leng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Исходный график S4. PCA рассчитана отдельно для каждой модели. Знак оси развёрнут так, чтобы средняя координата harmful была выше; абсолютный знак PCA не имеет самостоятельного смысла.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320"/>
        <w:gridCol w:w="1560"/>
        <w:gridCol w:w="1680"/>
        <w:gridCol w:w="1800"/>
      </w:tblGrid>
      <w:tr>
        <w:trPr>
          <w:cantSplit/>
          <w:tblHeader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/>
              </w:rPr>
              <w:t>Диагностика PC1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E5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CE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CE+SupCon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Корреляция PC1 с меткой, r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0,1626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0,7528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0,7578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AUC метки по координате PC1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0,5995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0,9245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0,9318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Spearman PC1 с длиной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0,9052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0,3875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0,3389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R²: только log(1+длина)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0,8804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0,0562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0,0463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Доп. R² метки при учёте длины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0,0024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0,5320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0,5434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Доп. R² длины при учёте метки</w:t>
            </w:r>
          </w:p>
        </w:tc>
        <w:tc>
          <w:tcPr>
            <w:tcW w:type="dxa" w:w="156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0,8564</w:t>
            </w:r>
          </w:p>
        </w:tc>
        <w:tc>
          <w:tcPr>
            <w:tcW w:type="dxa" w:w="168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0,0215</w:t>
            </w:r>
          </w:p>
        </w:tc>
        <w:tc>
          <w:tcPr>
            <w:tcW w:type="dxa" w:w="18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0,0154</w:t>
            </w:r>
          </w:p>
        </w:tc>
      </w:tr>
    </w:tbl>
    <w:p>
      <w:pPr>
        <w:pStyle w:val="ReportSource"/>
      </w:pPr>
      <w:r>
        <w:rPr>
          <w:b w:val="0"/>
        </w:rPr>
        <w:t>Источник: S4. AUC и R² описывают эту же выборку; это не независимая оценка нового классификатора и не причинные эффекты.</w:t>
      </w:r>
    </w:p>
    <w:p>
      <w:pPr>
        <w:pStyle w:val="ReportSmall"/>
      </w:pPr>
      <w:r>
        <w:rPr>
          <w:b w:val="0"/>
        </w:rPr>
        <w:t>У E5 первая компонента сильно связана с длиной: Spearman ρ = 0,905. После CE+SupCon связь с меткой усиливается до r = 0,758, а метка добавляет 0,543 к R² даже после линейного учёта log-длины. Это поддерживает интерпретацию PC1 как выраженного safety-направления на этой выборке.</w:t>
      </w:r>
    </w:p>
    <w:p>
      <w:pPr>
        <w:pStyle w:val="Heading1"/>
        <w:pageBreakBefore/>
        <w:spacing w:before="0"/>
      </w:pPr>
      <w:r>
        <w:t>3. Выводы, которые поддерживают данные</w:t>
      </w:r>
    </w:p>
    <w:p>
      <w:pPr>
        <w:pStyle w:val="Heading2"/>
      </w:pPr>
      <w:r>
        <w:t>1. После дообучения соседи стали однороднее по safety-метке.</w:t>
      </w:r>
    </w:p>
    <w:p>
      <w:r>
        <w:rPr>
          <w:b w:val="0"/>
        </w:rPr>
        <w:t>Для CE+SupCon macro kNN-purity@10 выросла с 69,27% до 84,33% (+15,05 п.п.). Улучшение наблюдается на всём проверенном диапазоне k = 1…100. Это означает, что ближайшие тексты чаще принадлежат тому же классу harmful / safe. Purity не является точностью отдельного классификатора и не измеряет тематическую близость. [S1–S3]</w:t>
      </w:r>
    </w:p>
    <w:p>
      <w:pPr>
        <w:pStyle w:val="Heading2"/>
      </w:pPr>
      <w:r>
        <w:t>2. Наибольший прирост однородности получен для safe.</w:t>
      </w:r>
    </w:p>
    <w:p>
      <w:r>
        <w:rPr>
          <w:b w:val="0"/>
        </w:rPr>
        <w:t>Purity@10 внутри safe выросла с 63,23% до 87,26% (+24,03 п.п.), внутри harmful — с 75,32% до 81,39% (+6,07 п.п.). Поэтому один macro-показатель скрывает асимметрию: после дообучения harmful-окрестности остаются более смешанными. Доля запросов, для которых чужой класс ближе своего, снизилась с 22,72% до 13,54%. [S2–S3]</w:t>
      </w:r>
    </w:p>
    <w:p>
      <w:pPr>
        <w:pStyle w:val="Heading2"/>
      </w:pPr>
      <w:r>
        <w:t>3. Глобальное разделение классов также стало выраженнее.</w:t>
      </w:r>
    </w:p>
    <w:p>
      <w:r>
        <w:rPr>
          <w:b w:val="0"/>
        </w:rPr>
        <w:t>Macro silhouette по косинусному расстоянию выросла с 0,0163 до 0,5251; macro cosine gap — с 0,0033 до 0,1356. Внутри safe и harmful средние косинусы выросли до 0,9520 и 0,8896, тогда как межклассовый косинус изменился мало: 0,7978 → 0,7851. Для CE+SupCon рост разрыва связан главным образом с усилением внутриклассовой близости. [S1–S3]</w:t>
      </w:r>
    </w:p>
    <w:p>
      <w:pPr>
        <w:pStyle w:val="Heading2"/>
      </w:pPr>
      <w:r>
        <w:t>4. Пространство стало более анизотропным, но не буквально одномерным.</w:t>
      </w:r>
    </w:p>
    <w:p>
      <w:r>
        <w:rPr>
          <w:b w:val="0"/>
        </w:rPr>
        <w:t>Доля PC1 выросла с 7,07% до 81,76%, PR снизился с 80,62 до 1,50, энтропийный ранг — с 181,51 до 4,05. При этом для 90% дисперсии всё ещё нужны 27 компонент, а TwoNN даёт локальную оценку 15,85. Глобальная концентрация дисперсии и локальная размерность измеряют разные свойства. Низкий PR не равен числу ненулевых координат и не доказывает потери смысла. [S1–S3, M2]</w:t>
      </w:r>
    </w:p>
    <w:p>
      <w:pPr>
        <w:pStyle w:val="Heading1"/>
        <w:pageBreakBefore/>
        <w:spacing w:before="0"/>
      </w:pPr>
      <w:r>
        <w:t>Выводы — продолжение</w:t>
      </w:r>
    </w:p>
    <w:p>
      <w:pPr>
        <w:pStyle w:val="Heading2"/>
      </w:pPr>
      <w:r>
        <w:t>5. CE и CE+SupCon дают похожую purity при разной геометрии.</w:t>
      </w:r>
    </w:p>
    <w:p>
      <w:r>
        <w:rPr>
          <w:b w:val="0"/>
        </w:rPr>
        <w:t>При k = 10 macro-purity равна 84,42% для CE и 84,33% для CE+SupCon. У CE гораздо больше cosine gap (0,5536 против 0,1356) и общий trace (0,7464 против 0,1426); у CE+SupCon выше macro silhouette (0,5251 против 0,4648) и сильнее концентрация PC1 (81,76% против 64,55%). Эти метрики отвечают на разные вопросы, поэтому из большей purity или большего разрыва нельзя вывести единое ранжирование качества всех аспектов пространства. [S1–S3]</w:t>
      </w:r>
    </w:p>
    <w:p>
      <w:pPr>
        <w:pStyle w:val="Heading2"/>
      </w:pPr>
      <w:r>
        <w:t>6. CE+SupCon сжимает внутриклассовые облака, особенно safe.</w:t>
      </w:r>
    </w:p>
    <w:p>
      <w:r>
        <w:rPr>
          <w:b w:val="0"/>
        </w:rPr>
        <w:t>Внутри safe trace уменьшается до 23,41% от исходного, внутри harmful — до 57,32%. Одновременно PR падает до 5,37% и 2,42% от исходного. Диагностический критерий проекта — и PR, и trace меньше половины значений E5 — срабатывает только для safe. Это выбранный порог для дополнительной проверки; отсутствие флага у harmful не означает отсутствия сжатия. [S1]</w:t>
      </w:r>
    </w:p>
    <w:p>
      <w:pPr>
        <w:pStyle w:val="Heading2"/>
      </w:pPr>
      <w:r>
        <w:t>7. Доминирующая ось после обучения тесно связана с safety.</w:t>
      </w:r>
    </w:p>
    <w:p>
      <w:r>
        <w:rPr>
          <w:b w:val="0"/>
        </w:rPr>
        <w:t>У E5 PC1 в основном связана с длиной запросов. Для CE и CE+SupCon связь с safety-меткой намного сильнее и сохраняется в линейном анализе с учётом длины: добавочный R² метки равен 0,532 и 0,543. Это не доказывает, что PC1 кодирует только safety; остальная семантика в этом анализе не размечена. [S4]</w:t>
      </w:r>
    </w:p>
    <w:p>
      <w:pPr>
        <w:pStyle w:val="Heading2"/>
      </w:pPr>
      <w:r>
        <w:t>8. Safety-структура сохраняется и вне направления головы.</w:t>
      </w:r>
    </w:p>
    <w:p>
      <w:r>
        <w:rPr>
          <w:b w:val="0"/>
        </w:rPr>
        <w:t>В архивной абляции CE+SupCon удаление направления классификационной головы снижает macro silhouette с 0,5251 до 0,1255 и cosine gap с 0,1356 до 0,0039. Но purity@10 остаётся высокой: 84,33% → 85,30%, при среднем пересечении списков соседей 67,87%. Это свидетельство остаточной структуры, связанной с меткой; улучшение классификатора на остатках не проверялось. [S5]</w:t>
      </w:r>
    </w:p>
    <w:p>
      <w:pPr>
        <w:pStyle w:val="Heading1"/>
        <w:pageBreakBefore/>
        <w:spacing w:before="0"/>
      </w:pPr>
      <w:r>
        <w:t>4. Что именно измеряют метрики</w:t>
      </w:r>
    </w:p>
    <w:p>
      <w:r>
        <w:rPr>
          <w:b w:val="0"/>
        </w:rPr>
        <w:t>Обозначения: uᵢ — L2-нормированный вектор, C = (1/n)Σ(uᵢ − μ)(uᵢ − μ)ᵀ — центрированная ковариация, λⱼ — её собственные значения, pⱼ = λⱼ / Σλ. Для внутриклассовых строк центр и ковариация вычисляются отдельно. Все выводы о форме относятся к этому пространству.</w:t>
      </w:r>
    </w:p>
    <w:p>
      <w:pPr>
        <w:pStyle w:val="Heading2"/>
      </w:pPr>
      <w:r>
        <w:t>Спектр: PC1, PR, энтропийный ранг и n90</w:t>
      </w:r>
    </w:p>
    <w:p>
      <w:r>
        <w:rPr>
          <w:b w:val="0"/>
        </w:rPr>
        <w:t>PC1 = p₁ показывает долю вариации первой компоненты. PR = 1 / Σpⱼ² и эффективный ранг = exp(−Σpⱼ ln pⱼ) описывают концентрацию спектра с разным весом его хвоста. n90 — минимальное число компонент, объясняющих не менее 90% дисперсии. Эти величины нужно читать вместе с общим разбросом trace(C) = Σλⱼ.</w:t>
      </w:r>
    </w:p>
    <w:p>
      <w:pPr>
        <w:pStyle w:val="Heading2"/>
      </w:pPr>
      <w:r>
        <w:t>Косинусы, расстояния и разброс</w:t>
      </w:r>
    </w:p>
    <w:p>
      <w:r>
        <w:rPr>
          <w:b w:val="0"/>
        </w:rPr>
        <w:t>Косинус считается между различными объектами; пары объекта с самим собой исключаются. Macro cosine gap — полусумма средних косинусов внутри классов минус средний косинус между классами. Label alignment — среднее квадратов расстояний для пар одной safety-метки, с равным весом классов: 2 − cos_safe − cos_harm. Здесь это alignment по метке, а не по человеческой семантической близости. [M3]</w:t>
      </w:r>
    </w:p>
    <w:p>
      <w:r>
        <w:rPr>
          <w:b w:val="0"/>
        </w:rPr>
        <w:t>W — взвешенный размерами классов trace внутри классов; B — взвешенный квадрат расстояний их центров до общего центра. Для выбранного деления ковариации на n выполняется trace(C) = W + B. Cosine центроидов использует нормированные средние векторы; он отличается от среднего косинуса всех межклассовых пар.</w:t>
      </w:r>
    </w:p>
    <w:p>
      <w:pPr>
        <w:pStyle w:val="Heading2"/>
      </w:pPr>
      <w:r>
        <w:t>Silhouette и локальная однородность</w:t>
      </w:r>
    </w:p>
    <w:p>
      <w:r>
        <w:rPr>
          <w:b w:val="0"/>
        </w:rPr>
        <w:t>Silhouette для объекта — (b − a) / max(a,b), где a — среднее косинусное расстояние до своего класса, b — до другого. Macro усредняет сначала внутри каждого класса. kNN-purity@k — доля совпадающих меток среди k ближайших соседей без самого объекта. На единичной сфере евклидово и косинусное расстояния дают одинаковый порядок соседей.</w:t>
      </w:r>
    </w:p>
    <w:p>
      <w:pPr>
        <w:pStyle w:val="Heading1"/>
        <w:pageBreakBefore/>
        <w:spacing w:before="0"/>
      </w:pPr>
      <w:r>
        <w:t>Методика и границы интерпретации</w:t>
      </w:r>
    </w:p>
    <w:p>
      <w:pPr>
        <w:pStyle w:val="Heading2"/>
      </w:pPr>
      <w:r>
        <w:t>Uniformity, TwoNN и hubness</w:t>
      </w:r>
    </w:p>
    <w:p>
      <w:r>
        <w:rPr>
          <w:b w:val="0"/>
        </w:rPr>
        <w:t>Uniformity(t=2) = log mean exp(−2‖uᵢ − uⱼ‖²), оценённая по 100 000 одинаковых случайных пар для всех моделей. Более отрицательные значения означают большую распределённость по этому критерию; изменение само по себе не является показателем качества safety. [M3]</w:t>
      </w:r>
    </w:p>
    <w:p>
      <w:r>
        <w:rPr>
          <w:b w:val="0"/>
        </w:rPr>
        <w:t>TwoNN оценивает локальную размерность по отношению расстояний до второго и первого соседей. В текущей реализации отброшены верхние 10% log-отношений и выполнена регрессия через начало координат; это оценка, зависящая от данных и масштаба, а не точная размерность пространства. Hubness здесь — асимметрия распределения числа попаданий каждого объекта в чужие списки 10 соседей (scipy skew, bias=True). [M2]</w:t>
      </w:r>
    </w:p>
    <w:p>
      <w:pPr>
        <w:pStyle w:val="Heading2"/>
      </w:pPr>
      <w:r>
        <w:t>Единый протокол сравнения</w:t>
      </w:r>
    </w:p>
    <w:p>
      <w:r>
        <w:rPr>
          <w:b w:val="0"/>
        </w:rPr>
        <w:t>После исключения 26 строк WildGuardTest без пригодной метки/текста остаются 945 safe и 754 harmful. Дубликатов нет; три запроса обрезаны до 512 токенов. Для всех моделей: префикс «query: », masked mean последнего слоя со специальными токенами, eval и FP32 при извлечении; float64 и L2-нормировка для геометрии. [S1, M1]</w:t>
      </w:r>
    </w:p>
    <w:p>
      <w:r>
        <w:rPr>
          <w:b w:val="0"/>
        </w:rPr>
        <w:t>Все 39 исходных значений и дополнительные показатели пересчитаны из сохранённых массивов без нового обучения. Macro даёт равный вес двум классам. [S3]</w:t>
      </w:r>
    </w:p>
    <w:p>
      <w:pPr>
        <w:pStyle w:val="Heading2"/>
      </w:pPr>
      <w:r>
        <w:t>Какие выводы пока не установлены</w:t>
      </w:r>
    </w:p>
    <w:p>
      <w:r>
        <w:rPr>
          <w:b w:val="0"/>
        </w:rPr>
        <w:t>Нет повторов обучения по нескольким seed и интервалов для различий между прогонами. Соответствие HF-весов архиву и идентичность всех условий не подтверждены, поэтому причинный эффект только SupCon не выделен. Значимость небольших различий CE и CE+SupCon не установлена.</w:t>
      </w:r>
    </w:p>
    <w:p>
      <w:r>
        <w:rPr>
          <w:b w:val="0"/>
        </w:rPr>
        <w:t>Шаг и loss возникновения изменений неизвестны: нет промежуточных весов и геометрии фиксированной выборки по шагам. Архивный best step = 1400 обозначает выбор модели и не устанавливает момент сжатия. [S6]</w:t>
      </w:r>
    </w:p>
    <w:p>
      <w:r>
        <w:rPr>
          <w:b w:val="0"/>
        </w:rPr>
        <w:t>Смысловая близость отдельно не проверена: 0 из 120 подготовленных пар имеют человеческую оценку. При сравнении E5 и CE+SupCon сохраняется в среднем 26,26% соседей@10; это доказывает перестройку соседств, но не потерю смысла. Рост purity следует называть однородностью по safety-метке. [S3–S4]</w:t>
      </w:r>
    </w:p>
    <w:p>
      <w:pPr>
        <w:pStyle w:val="Heading1"/>
        <w:pageBreakBefore/>
        <w:spacing w:before="0"/>
      </w:pPr>
      <w:r>
        <w:t>5. Дополнительная диагностика CE+SupCon</w:t>
      </w:r>
    </w:p>
    <w:p>
      <w:pPr>
        <w:pStyle w:val="ReportSmall"/>
      </w:pPr>
      <w:r>
        <w:rPr>
          <w:b w:val="0"/>
        </w:rPr>
        <w:t>Этот раздел использует архив от 15.10.2026 для той же ревизии CE+SupCon и того же WildGuardTest. Он дополняет единое сравнение трёх моделей. Послойные значения рассчитаны на 512 текстах; остальные приведённые здесь агрегаты — на 1 699. [S5]</w:t>
      </w:r>
    </w:p>
    <w:p>
      <w:pPr>
        <w:pStyle w:val="ReportCaption"/>
        <w:keepNext/>
      </w:pPr>
      <w:r>
        <w:rPr>
          <w:b/>
        </w:rPr>
        <w:t>Рисунок 8. Удаление направления классификационной головы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828406"/>
            <wp:docPr id="8" name="Picture 8" descr="Удаление направления классификационной головы. Слева — доля raw-дисперсии вдоль нормали головы; справа — метрики после проекции raw-векторов на ортогональное подпространство и повторной L2-нормировки. Raw- и unit-показатели не следует смешиват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_direction_ab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Слева — доля raw-дисперсии вдоль нормали головы; справа — метрики после проекции raw-векторов на ортогональное подпространство и повторной L2-нормировки. Raw- и unit-показатели не следует смешивать.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080"/>
        <w:gridCol w:w="2640"/>
        <w:gridCol w:w="2640"/>
      </w:tblGrid>
      <w:tr>
        <w:trPr>
          <w:cantSplit/>
          <w:tblHeader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/>
              </w:rPr>
              <w:t>Метрика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Исходное пространство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Без направления головы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Энтропийный ранг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4,05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133,83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Доля PC1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81,76%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11,03%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Cosine gap, macro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0,1356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0,0039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Silhouette, macro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0,5251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0,1255</w:t>
            </w:r>
          </w:p>
        </w:tc>
      </w:tr>
      <w:tr>
        <w:trPr>
          <w:cantSplit/>
        </w:trPr>
        <w:tc>
          <w:tcPr>
            <w:tcW w:type="dxa" w:w="408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Purity@10, macro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84,33%</w:t>
            </w:r>
          </w:p>
        </w:tc>
        <w:tc>
          <w:tcPr>
            <w:tcW w:type="dxa" w:w="26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85,30%</w:t>
            </w:r>
          </w:p>
        </w:tc>
      </w:tr>
    </w:tbl>
    <w:p>
      <w:pPr>
        <w:pStyle w:val="ReportSource"/>
      </w:pPr>
      <w:r>
        <w:rPr>
          <w:b w:val="0"/>
        </w:rPr>
        <w:t>Источник: S5, head_ablation.csv. Вдоль головы лежит 80,19% центрированной raw-дисперсии.</w:t>
      </w:r>
    </w:p>
    <w:p>
      <w:r>
        <w:rPr>
          <w:b w:val="0"/>
        </w:rPr>
        <w:t>Разница между сильным падением глобального разделения и сохранением локальной purity показывает, что разные масштабы структуры ведут себя по-разному. Повторная нормировка после абляции меняет расстояния, поэтому результат не является оценкой готового классификатора на исходных векторах.</w:t>
      </w:r>
    </w:p>
    <w:p>
      <w:pPr>
        <w:pStyle w:val="Heading1"/>
        <w:pageBreakBefore/>
        <w:spacing w:before="0"/>
      </w:pPr>
      <w:r>
        <w:t>Глобальная геометрия и граница головы</w:t>
      </w:r>
    </w:p>
    <w:p>
      <w:pPr>
        <w:pStyle w:val="ReportCaption"/>
        <w:keepNext/>
      </w:pPr>
      <w:r>
        <w:rPr>
          <w:b/>
        </w:rPr>
        <w:t>Рисунок 9. Архивный обзор конечной модели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583481"/>
            <wp:docPr id="9" name="Picture 9" descr="Архивный обзор конечной модели. Распределения косинусов, спектр и нормы raw-эмбеддингов до нормировки. В основном сравнении формы используется unit-пространство. График не содержит исходный E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Распределения косинусов, спектр и нормы raw-эмбеддингов до нормировки. В основном сравнении формы используется unit-пространство. График не содержит исходный E5.</w:t>
      </w:r>
    </w:p>
    <w:p>
      <w:pPr>
        <w:pStyle w:val="ReportCaption"/>
        <w:keepNext/>
      </w:pPr>
      <w:r>
        <w:rPr>
          <w:b/>
        </w:rPr>
        <w:t>Рисунок 10. Локальная purity около границы решения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982125"/>
            <wp:docPr id="10" name="Picture 10" descr="Локальная purity около границы решения. Ось X — расстояние в raw-пространстве до границы головы. Связь ошибок с перемешанными соседствами носит описательный характер. Порог в архивной диагностике — 0,891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_bound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Ось X — расстояние в raw-пространстве до границы головы. Связь ошибок с перемешанными соседствами носит описательный характер. Порог в архивной диагностике — 0,8917.</w:t>
      </w:r>
    </w:p>
    <w:p>
      <w:pPr>
        <w:pStyle w:val="ReportSmall"/>
      </w:pPr>
      <w:r>
        <w:rPr>
          <w:b w:val="0"/>
        </w:rPr>
        <w:t>При этом пороге AUROC головы = 0,9318, фактический FPR = 2,22%, FNR = 39,79%. Хорошая геометрическая группировка не означает отсутствия пропусков harmful-запросов. На adversarial-подгруппе средняя purity равна 79,22%, на остальных запросах — 89,45%; это micro-средние внутри подгрупп. [S5]</w:t>
      </w:r>
    </w:p>
    <w:p>
      <w:pPr>
        <w:pStyle w:val="Heading1"/>
        <w:pageBreakBefore/>
        <w:spacing w:before="0"/>
      </w:pPr>
      <w:r>
        <w:t>Слои и двумерные проекции</w:t>
      </w:r>
    </w:p>
    <w:p>
      <w:pPr>
        <w:pStyle w:val="ReportCaption"/>
        <w:keepNext/>
      </w:pPr>
      <w:r>
        <w:rPr>
          <w:b/>
        </w:rPr>
        <w:t>Рисунок 11. Геометрия по слоям конечной модели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697492"/>
            <wp:docPr id="11" name="Picture 11" descr="Геометрия по слоям конечной модели. На одной стратифицированной подвыборке из 512 текстов разделение усиливается в поздних слоях. На графике silhouette_cosine — micro-среднее; его нельзя путать с macro-колонкой основной таблицы. Это разбор слоёв готовой модели, а не история оптимизац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wise_geomet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На одной стратифицированной подвыборке из 512 текстов разделение усиливается в поздних слоях. На графике silhouette_cosine — micro-среднее; его нельзя путать с macro-колонкой основной таблицы. Это разбор слоёв готовой модели, а не история оптимизации.</w:t>
      </w:r>
    </w:p>
    <w:p>
      <w:pPr>
        <w:pStyle w:val="ReportCaption"/>
        <w:keepNext/>
      </w:pPr>
      <w:r>
        <w:rPr>
          <w:b/>
        </w:rPr>
        <w:t>Рисунок 12. PCA и t-SNE с ошибками головы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2285605"/>
            <wp:docPr id="12" name="Picture 12" descr="PCA и t-SNE с ошибками головы. Ошибки отмечены крестиками. PCA сохраняет 82,74% дисперсии в двух координатах; trustworthiness@10: PCA = 0,8575, t-SNE = 0,9483. Это качество визуального соседства, а не классификации. Размеры и расстояния островков t-SNE не интерпретируются как глобальные расстояния исходного пространств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Ошибки отмечены крестиками. PCA сохраняет 82,74% дисперсии в двух координатах; trustworthiness@10: PCA = 0,8575, t-SNE = 0,9483. Это качество визуального соседства, а не классификации. Размеры и расстояния островков t-SNE не интерпретируются как глобальные расстояния исходного пространства.</w:t>
      </w:r>
    </w:p>
    <w:p>
      <w:pPr>
        <w:pStyle w:val="Heading1"/>
        <w:pageBreakBefore/>
        <w:spacing w:before="0"/>
      </w:pPr>
      <w:r>
        <w:t>Контроль соседств и история обучения</w:t>
      </w:r>
    </w:p>
    <w:p>
      <w:pPr>
        <w:pStyle w:val="ReportCaption"/>
        <w:keepNext/>
      </w:pPr>
      <w:r>
        <w:rPr>
          <w:b/>
        </w:rPr>
        <w:t>Рисунок 13. Перестановочный контроль purity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982125"/>
            <wp:docPr id="13" name="Picture 13" descr="Перестановочный контроль purity. Архив S5: 199 перестановок глобально и внутри adversarial × квартиль длины. При k = 10 условный контроль даёт среднее 0,5200 и 95%-полосу 0,5092–0,5298; наблюдается 0,8433. Полоса — распределение нулевой модели, не доверительный интервал качества и не контроль всех возможных смешивающих фактор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scale_neighborhoo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Архив S5: 199 перестановок глобально и внутри adversarial × квартиль длины. При k = 10 условный контроль даёт среднее 0,5200 и 95%-полосу 0,5092–0,5298; наблюдается 0,8433. Полоса — распределение нулевой модели, не доверительный интервал качества и не контроль всех возможных смешивающих факторов.</w:t>
      </w:r>
    </w:p>
    <w:p>
      <w:pPr>
        <w:pStyle w:val="ReportCaption"/>
        <w:keepNext/>
      </w:pPr>
      <w:r>
        <w:rPr>
          <w:b/>
        </w:rPr>
        <w:t>Рисунок 14. История архивного CE+SupCon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2971800"/>
            <wp:docPr id="14" name="Picture 14" descr="История архивного CE+SupCon. Архив S6: loss, batch-косинусы, validation-метрики и learning rate. Жирные кривые — скользящие средние 10 логируемых батчей. Вертикаль 1400 отмечает выбранный checkpoint; восстановить по этой картинке динамику PR, TwoNN или purity на фиксированном тесте нельз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Архив S6: loss, batch-косинусы, validation-метрики и learning rate. Жирные кривые — скользящие средние 10 логируемых батчей. Вертикаль 1400 отмечает выбранный checkpoint; восстановить по этой картинке динамику PR, TwoNN или purity на фиксированном тесте нельзя.</w:t>
      </w:r>
    </w:p>
    <w:p>
      <w:pPr>
        <w:pStyle w:val="Heading1"/>
        <w:pageBreakBefore/>
        <w:spacing w:before="0"/>
      </w:pPr>
      <w:r>
        <w:t>Контекст: другие objective и OOD</w:t>
      </w:r>
    </w:p>
    <w:p>
      <w:pPr>
        <w:pStyle w:val="ReportCaption"/>
        <w:keepNext/>
      </w:pPr>
      <w:r>
        <w:rPr>
          <w:b/>
        </w:rPr>
        <w:t>Рисунок 15. PC1 в архиве пяти обучающих режимов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2377440"/>
            <wp:docPr id="15" name="Picture 15" descr="PC1 в архиве пяти обучающих режимов. S6: исходный E5, CE, InfoNCE, CE+InfoNCE, SupCon и CE+SupCon. Holdout — WildGuardTest, n = 1 699; геометрия OOD — подвыборка ToxicChat, n = 1 500. Значения округлены в исходном логе; для остальных трёх objective единый пересчёт эмбеддингов в этом отчёте не выполне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pc1_sha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S6: исходный E5, CE, InfoNCE, CE+InfoNCE, SupCon и CE+SupCon. Holdout — WildGuardTest, n = 1 699; геометрия OOD — подвыборка ToxicChat, n = 1 500. Значения округлены в исходном логе; для остальных трёх objective единый пересчёт эмбеддингов в этом отчёте не выполнен.</w:t>
      </w:r>
    </w:p>
    <w:p>
      <w:pPr>
        <w:pStyle w:val="ReportCaption"/>
        <w:keepNext/>
      </w:pPr>
      <w:r>
        <w:rPr>
          <w:b/>
        </w:rPr>
        <w:t>Рисунок 16. Внутри- и межклассовые косинусы в архиве</w:t>
      </w:r>
    </w:p>
    <w:p>
      <w:pPr>
        <w:pStyle w:val="ReportFigure"/>
        <w:keepNext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3600" cy="1910443"/>
            <wp:docPr id="16" name="Picture 16" descr="Внутри- и межклассовые косинусы в архиве. S6: качественные различия objective видны также на OOD. Высокая PC1 у SupCon и CE+SupCon сохраняется, но перенос всей геометрии и смыслового качества этим набором показателей не установле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class_cosi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rPr>
          <w:b w:val="0"/>
        </w:rPr>
        <w:t>S6: качественные различия objective видны также на OOD. Высокая PC1 у SupCon и CE+SupCon сохраняется, но перенос всей геометрии и смыслового качества этим набором показателей не установлен.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600"/>
        <w:gridCol w:w="1320"/>
        <w:gridCol w:w="2040"/>
        <w:gridCol w:w="2400"/>
      </w:tblGrid>
      <w:tr>
        <w:trPr>
          <w:cantSplit/>
          <w:tblHeader/>
        </w:trPr>
        <w:tc>
          <w:tcPr>
            <w:tcW w:type="dxa" w:w="3600"/>
            <w:vAlign w:val="center"/>
          </w:tcPr>
          <w:p>
            <w:pPr>
              <w:pStyle w:val="ReportTable"/>
              <w:jc w:val="left"/>
            </w:pPr>
            <w:r>
              <w:rPr>
                <w:b/>
              </w:rPr>
              <w:t>Архивный режим</w:t>
            </w:r>
          </w:p>
        </w:tc>
        <w:tc>
          <w:tcPr>
            <w:tcW w:type="dxa" w:w="132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Лучший шаг</w:t>
            </w:r>
          </w:p>
        </w:tc>
        <w:tc>
          <w:tcPr>
            <w:tcW w:type="dxa" w:w="204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Val AUROC</w:t>
            </w:r>
          </w:p>
        </w:tc>
        <w:tc>
          <w:tcPr>
            <w:tcW w:type="dxa" w:w="2400"/>
            <w:vAlign w:val="center"/>
          </w:tcPr>
          <w:p>
            <w:pPr>
              <w:pStyle w:val="ReportTable"/>
              <w:jc w:val="center"/>
            </w:pPr>
            <w:r>
              <w:rPr>
                <w:b/>
              </w:rPr>
              <w:t>Val TPR@FPR=1%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classification</w:t>
            </w:r>
          </w:p>
        </w:tc>
        <w:tc>
          <w:tcPr>
            <w:tcW w:type="dxa" w:w="13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2000</w:t>
            </w:r>
          </w:p>
        </w:tc>
        <w:tc>
          <w:tcPr>
            <w:tcW w:type="dxa" w:w="20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0,9755</w:t>
            </w:r>
          </w:p>
        </w:tc>
        <w:tc>
          <w:tcPr>
            <w:tcW w:type="dxa" w:w="24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75,12%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contrastive</w:t>
            </w:r>
          </w:p>
        </w:tc>
        <w:tc>
          <w:tcPr>
            <w:tcW w:type="dxa" w:w="13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1344</w:t>
            </w:r>
          </w:p>
        </w:tc>
        <w:tc>
          <w:tcPr>
            <w:tcW w:type="dxa" w:w="20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0,9686</w:t>
            </w:r>
          </w:p>
        </w:tc>
        <w:tc>
          <w:tcPr>
            <w:tcW w:type="dxa" w:w="24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68,70%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joint</w:t>
            </w:r>
          </w:p>
        </w:tc>
        <w:tc>
          <w:tcPr>
            <w:tcW w:type="dxa" w:w="13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2400</w:t>
            </w:r>
          </w:p>
        </w:tc>
        <w:tc>
          <w:tcPr>
            <w:tcW w:type="dxa" w:w="20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0,9724</w:t>
            </w:r>
          </w:p>
        </w:tc>
        <w:tc>
          <w:tcPr>
            <w:tcW w:type="dxa" w:w="24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75,57%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supcon</w:t>
            </w:r>
          </w:p>
        </w:tc>
        <w:tc>
          <w:tcPr>
            <w:tcW w:type="dxa" w:w="13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2400</w:t>
            </w:r>
          </w:p>
        </w:tc>
        <w:tc>
          <w:tcPr>
            <w:tcW w:type="dxa" w:w="20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0,9757</w:t>
            </w:r>
          </w:p>
        </w:tc>
        <w:tc>
          <w:tcPr>
            <w:tcW w:type="dxa" w:w="24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76,49%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</w:rPr>
              <w:t>supcon-joint</w:t>
            </w:r>
          </w:p>
        </w:tc>
        <w:tc>
          <w:tcPr>
            <w:tcW w:type="dxa" w:w="132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1400</w:t>
            </w:r>
          </w:p>
        </w:tc>
        <w:tc>
          <w:tcPr>
            <w:tcW w:type="dxa" w:w="204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0,9728</w:t>
            </w:r>
          </w:p>
        </w:tc>
        <w:tc>
          <w:tcPr>
            <w:tcW w:type="dxa" w:w="2400"/>
            <w:vAlign w:val="center"/>
          </w:tcPr>
          <w:p>
            <w:pPr>
              <w:pStyle w:val="ReportTable"/>
              <w:jc w:val="center"/>
            </w:pPr>
            <w:r>
              <w:rPr>
                <w:b w:val="0"/>
              </w:rPr>
              <w:t>76,05%</w:t>
            </w:r>
          </w:p>
        </w:tc>
      </w:tr>
    </w:tbl>
    <w:p>
      <w:pPr>
        <w:pStyle w:val="ReportSource"/>
      </w:pPr>
      <w:r>
        <w:rPr>
          <w:b w:val="0"/>
        </w:rPr>
        <w:t>S6. Чекпоинты выбраны на разных шагах; все прогоны имеют seed 42. Val-метрики не являются метриками теста.</w:t>
      </w:r>
    </w:p>
    <w:p>
      <w:pPr>
        <w:pStyle w:val="Heading1"/>
        <w:pageBreakBefore/>
        <w:spacing w:before="0"/>
      </w:pPr>
      <w:r>
        <w:t>6. Источники и воспроизводимость</w:t>
      </w:r>
    </w:p>
    <w:p>
      <w:pPr>
        <w:pStyle w:val="ReportSmall"/>
      </w:pPr>
      <w:r>
        <w:rPr>
          <w:b w:val="0"/>
        </w:rPr>
        <w:t>Приоритет доказательств: единый расчёт на сохранённых эмбеддингах → дополнительная диагностика тех же моделей → архивные результаты других objective. Повторяющиеся копии графиков в rq3_history в отчёт второй раз не включены. Все 16 уникальных исходных PNG приведены с подписями.</w:t>
      </w:r>
    </w:p>
    <w:p>
      <w:pPr>
        <w:pStyle w:val="ReportSmall"/>
      </w:pPr>
      <w:r>
        <w:rPr>
          <w:b/>
        </w:rPr>
        <w:t>S1. Основной прогон от 18.10.2026</w:t>
      </w:r>
    </w:p>
    <w:p>
      <w:pPr>
        <w:pStyle w:val="ReportSource"/>
      </w:pPr>
      <w:r>
        <w:rPr>
          <w:b w:val="0"/>
        </w:rPr>
        <w:t>guardrails_geometry_results/run_20261018T134157_442709Z/</w:t>
        <w:br/>
        <w:t>three_way_comparison.csv; three_way_geometry_by_class.csv; manifest.json; data_audit.json; endpoint_diagnostics.csv; pca_2d_metadata.json.</w:t>
      </w:r>
    </w:p>
    <w:p>
      <w:pPr>
        <w:pStyle w:val="ReportSmall"/>
      </w:pPr>
      <w:r>
        <w:rPr>
          <w:b/>
        </w:rPr>
        <w:t>S2. Локальные соседства</w:t>
      </w:r>
    </w:p>
    <w:p>
      <w:pPr>
        <w:pStyle w:val="ReportSource"/>
      </w:pPr>
      <w:r>
        <w:rPr>
          <w:b w:val="0"/>
        </w:rPr>
        <w:t>Тот же основной прогон</w:t>
        <w:br/>
        <w:t>three_way_knn_purity.csv; knn_purity_vs_k.csv. Основная кривая содержит все k = 1…100.</w:t>
      </w:r>
    </w:p>
    <w:p>
      <w:pPr>
        <w:pStyle w:val="ReportSmall"/>
      </w:pPr>
      <w:r>
        <w:rPr>
          <w:b/>
        </w:rPr>
        <w:t>S3. Независимый пересчёт для этого отчёта</w:t>
      </w:r>
    </w:p>
    <w:p>
      <w:pPr>
        <w:pStyle w:val="ReportSource"/>
      </w:pPr>
      <w:r>
        <w:rPr>
          <w:b w:val="0"/>
        </w:rPr>
        <w:t>report/analyze_report.py; report/data/</w:t>
        <w:br/>
        <w:t>all_geometry_metrics.csv; spectral_by_class.csv; reproduction_checks.csv; neighbor_overlap.json; analysis_manifest.json. Последний содержит SHA-256 входных файлов.</w:t>
      </w:r>
    </w:p>
    <w:p>
      <w:pPr>
        <w:pStyle w:val="ReportSmall"/>
      </w:pPr>
      <w:r>
        <w:rPr>
          <w:b/>
        </w:rPr>
        <w:t>S4. PC1 и семантический follow-up</w:t>
      </w:r>
    </w:p>
    <w:p>
      <w:pPr>
        <w:pStyle w:val="ReportSource"/>
      </w:pPr>
      <w:r>
        <w:rPr>
          <w:b w:val="0"/>
        </w:rPr>
        <w:t>Основной прогон / pc1_semantics_followup/</w:t>
        <w:br/>
        <w:t>pc1_summary.csv; PROTOCOL.md; semantic_evaluation.md. Код: rq4_followup/prepare.py и evaluate.py.</w:t>
      </w:r>
    </w:p>
    <w:p>
      <w:pPr>
        <w:pStyle w:val="ReportSmall"/>
      </w:pPr>
      <w:r>
        <w:rPr>
          <w:b/>
        </w:rPr>
        <w:t>S5. Архив подробной диагностики от 15.10.2026</w:t>
      </w:r>
    </w:p>
    <w:p>
      <w:pPr>
        <w:pStyle w:val="ReportSource"/>
      </w:pPr>
      <w:r>
        <w:rPr>
          <w:b w:val="0"/>
        </w:rPr>
        <w:t>guarails_results/analysis/</w:t>
        <w:br/>
        <w:t>geometry.csv; head_ablation.csv; head_axis_variance.csv; head_metrics.csv; layerwise.csv; local_summary.csv; multiscale.csv; projection_quality.csv; group_metrics.csv; metadata.json.</w:t>
      </w:r>
    </w:p>
    <w:p>
      <w:pPr>
        <w:pStyle w:val="ReportSmall"/>
      </w:pPr>
      <w:r>
        <w:rPr>
          <w:b/>
        </w:rPr>
        <w:t>S6. История обучения и другие objective</w:t>
      </w:r>
    </w:p>
    <w:p>
      <w:pPr>
        <w:pStyle w:val="ReportSource"/>
      </w:pPr>
      <w:r>
        <w:rPr>
          <w:b w:val="0"/>
        </w:rPr>
        <w:t>guardrails_training_history/; rq3_training/</w:t>
        <w:br/>
        <w:t>runs_summary.csv; geometry_from_log.csv; lodo_from_archive.csv; *_loss.csv; *_eval.csv; rq3_training/training/TRAINING.md; configs; runs/*/config_used.json и result.json.</w:t>
      </w:r>
    </w:p>
    <w:p>
      <w:pPr>
        <w:pStyle w:val="ReportSmall"/>
      </w:pPr>
      <w:r>
        <w:rPr>
          <w:b w:val="0"/>
        </w:rPr>
        <w:t>Основной ноутбук: guardrails_geometry_colab.ipynb. Полный протокол и формулы просмотрены; для отчёта не запускались обучение или повторное извлечение эмбеддингов. Старые и новые data_hash имеют разные схемы формирования, поэтому их различие само по себе не означает различие корпуса.</w:t>
      </w:r>
    </w:p>
    <w:p>
      <w:pPr>
        <w:pStyle w:val="Heading1"/>
        <w:pageBreakBefore/>
        <w:spacing w:before="0"/>
      </w:pPr>
      <w:r>
        <w:t>Ревизии моделей и методические ссылки</w:t>
      </w:r>
    </w:p>
    <w:p>
      <w:pPr>
        <w:pStyle w:val="ReportSmall"/>
      </w:pPr>
      <w:r>
        <w:rPr>
          <w:b/>
        </w:rPr>
        <w:t>E5 до</w:t>
      </w:r>
    </w:p>
    <w:p>
      <w:pPr>
        <w:pStyle w:val="ReportSource"/>
      </w:pPr>
      <w:r>
        <w:rPr>
          <w:b w:val="0"/>
        </w:rPr>
        <w:t>intfloat/e5-small-v2</w:t>
        <w:br/>
        <w:t>commit: ffb93f3bd4047442299a41ebb6fa998a38507c52</w:t>
      </w:r>
    </w:p>
    <w:p>
      <w:pPr>
        <w:pStyle w:val="ReportSmall"/>
      </w:pPr>
      <w:r>
        <w:rPr>
          <w:b/>
        </w:rPr>
        <w:t>CE</w:t>
      </w:r>
    </w:p>
    <w:p>
      <w:pPr>
        <w:pStyle w:val="ReportSource"/>
      </w:pPr>
      <w:r>
        <w:rPr>
          <w:b w:val="0"/>
        </w:rPr>
        <w:t>pineee/e5-small-v2-hivetrace-finetune-CE</w:t>
        <w:br/>
        <w:t>commit: 7c86195053050b63ef4330d45db15ad9dd473265</w:t>
      </w:r>
    </w:p>
    <w:p>
      <w:pPr>
        <w:pStyle w:val="ReportSmall"/>
      </w:pPr>
      <w:r>
        <w:rPr>
          <w:b/>
        </w:rPr>
        <w:t>CE+SupCon</w:t>
      </w:r>
    </w:p>
    <w:p>
      <w:pPr>
        <w:pStyle w:val="ReportSource"/>
      </w:pPr>
      <w:r>
        <w:rPr>
          <w:b w:val="0"/>
        </w:rPr>
        <w:t>pineee/e5-small-v2-hivetrace-finetune-CE-SupCon</w:t>
        <w:br/>
        <w:t>commit: d7905a98d3000ce2690c09171ba02ab3e9315add</w:t>
      </w:r>
    </w:p>
    <w:p>
      <w:pPr>
        <w:pStyle w:val="ReportSmall"/>
      </w:pPr>
      <w:r>
        <w:rPr>
          <w:b/>
        </w:rPr>
        <w:t>WildGuardMix / wildguardtest / test</w:t>
      </w:r>
    </w:p>
    <w:p>
      <w:pPr>
        <w:pStyle w:val="ReportSource"/>
      </w:pPr>
      <w:r>
        <w:rPr>
          <w:b w:val="0"/>
        </w:rPr>
        <w:t>revision: d29c47f41c8b51348b5c8e8c81c039b3132b66d1</w:t>
        <w:br/>
        <w:t>Оценочный data_hash: d973e83e8c42c0f8c644dad0ba2741ce0a177ae82a3e96023dab3ffd682ff0af</w:t>
      </w:r>
    </w:p>
    <w:p>
      <w:pPr>
        <w:pStyle w:val="ReportSmall"/>
      </w:pPr>
      <w:r>
        <w:rPr>
          <w:b w:val="0"/>
        </w:rPr>
        <w:t>M1. intfloat/e5-small-v2 — официальная карточка модели. Префикс query, mean pooling, нормировка, размерность 384.</w:t>
      </w:r>
      <w:hyperlink r:id="rId25">
        <w:r>
          <w:rPr>
            <w:color w:val="1155CC"/>
          </w:rPr>
          <w:t> Открыть источник</w:t>
        </w:r>
      </w:hyperlink>
    </w:p>
    <w:p>
      <w:pPr>
        <w:pStyle w:val="ReportSmall"/>
      </w:pPr>
      <w:r>
        <w:rPr>
          <w:b w:val="0"/>
        </w:rPr>
        <w:t>M2. Facco et al. Estimating the intrinsic dimension of datasets by a minimal neighborhood information. TwoNN.</w:t>
      </w:r>
      <w:hyperlink r:id="rId26">
        <w:r>
          <w:rPr>
            <w:color w:val="1155CC"/>
          </w:rPr>
          <w:t> Открыть источник</w:t>
        </w:r>
      </w:hyperlink>
    </w:p>
    <w:p>
      <w:pPr>
        <w:pStyle w:val="ReportSmall"/>
      </w:pPr>
      <w:r>
        <w:rPr>
          <w:b w:val="0"/>
        </w:rPr>
        <w:t>M3. Wang &amp; Isola (2020). Understanding Contrastive Representation Learning through Alignment and Uniformity on the Hypersphere.</w:t>
      </w:r>
      <w:hyperlink r:id="rId27">
        <w:r>
          <w:rPr>
            <w:color w:val="1155CC"/>
          </w:rPr>
          <w:t> Открыть источник</w:t>
        </w:r>
      </w:hyperlink>
    </w:p>
    <w:p>
      <w:pPr>
        <w:pStyle w:val="ReportSmall"/>
      </w:pPr>
      <w:r>
        <w:rPr>
          <w:b w:val="0"/>
        </w:rPr>
        <w:t>M4. Ai2 WildGuardMix — описание корпуса и разметки. Train использует GPT-4-метки; test — человеческую разметку с дополнительным аудитом.</w:t>
      </w:r>
      <w:hyperlink r:id="rId28">
        <w:r>
          <w:rPr>
            <w:color w:val="1155CC"/>
          </w:rPr>
          <w:t> Открыть источник</w:t>
        </w:r>
      </w:hyperlink>
    </w:p>
    <w:p>
      <w:pPr>
        <w:pStyle w:val="ReportSmall"/>
      </w:pPr>
      <w:r>
        <w:rPr>
          <w:b w:val="0"/>
        </w:rPr>
        <w:t>Эти данные не позволяют отдельно оценить причинный вклад LLM-источника меток. Для такого вывода нужны одинаковые train-тексты с human- и LLM-разметкой при фиксированных objective и бюджете обучения. [M4, S6]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76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Arial" w:hAnsi="Arial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able">
    <w:name w:val="Report Table"/>
    <w:pPr>
      <w:spacing w:before="0" w:after="0" w:line="254" w:lineRule="auto"/>
    </w:pPr>
    <w:rPr>
      <w:rFonts w:ascii="Arial" w:hAnsi="Arial"/>
      <w:b w:val="0"/>
      <w:color w:val="000000"/>
      <w:sz w:val="18"/>
    </w:rPr>
  </w:style>
  <w:style w:type="paragraph" w:customStyle="1" w:styleId="ReportCaption">
    <w:name w:val="Report Caption"/>
    <w:pPr>
      <w:spacing w:before="80" w:after="120" w:line="264" w:lineRule="auto"/>
    </w:pPr>
    <w:rPr>
      <w:rFonts w:ascii="Arial" w:hAnsi="Arial"/>
      <w:b w:val="0"/>
      <w:color w:val="000000"/>
      <w:sz w:val="18"/>
    </w:rPr>
  </w:style>
  <w:style w:type="paragraph" w:customStyle="1" w:styleId="ReportSource">
    <w:name w:val="Report Source"/>
    <w:pPr>
      <w:spacing w:before="80" w:after="80" w:line="252" w:lineRule="auto"/>
    </w:pPr>
    <w:rPr>
      <w:rFonts w:ascii="Arial" w:hAnsi="Arial"/>
      <w:b w:val="0"/>
      <w:color w:val="555555"/>
      <w:sz w:val="17"/>
    </w:rPr>
  </w:style>
  <w:style w:type="paragraph" w:customStyle="1" w:styleId="ReportFigure">
    <w:name w:val="Report Figure"/>
    <w:pPr>
      <w:spacing w:before="0" w:after="0" w:line="240" w:lineRule="auto"/>
    </w:pPr>
    <w:rPr>
      <w:rFonts w:ascii="Arial" w:hAnsi="Arial"/>
      <w:b w:val="0"/>
      <w:color w:val="000000"/>
      <w:sz w:val="22"/>
    </w:rPr>
  </w:style>
  <w:style w:type="paragraph" w:customStyle="1" w:styleId="ReportSmall">
    <w:name w:val="Report Small"/>
    <w:pPr>
      <w:spacing w:before="0" w:after="120" w:line="264" w:lineRule="auto"/>
    </w:pPr>
    <w:rPr>
      <w:rFonts w:ascii="Arial" w:hAnsi="Arial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yperlink" Target="https://huggingface.co/intfloat/e5-small-v2" TargetMode="External"/><Relationship Id="rId26" Type="http://schemas.openxmlformats.org/officeDocument/2006/relationships/hyperlink" Target="https://arxiv.org/abs/1803.06992" TargetMode="External"/><Relationship Id="rId27" Type="http://schemas.openxmlformats.org/officeDocument/2006/relationships/hyperlink" Target="https://proceedings.mlr.press/v119/wang20k.html" TargetMode="External"/><Relationship Id="rId28" Type="http://schemas.openxmlformats.org/officeDocument/2006/relationships/hyperlink" Target="https://huggingface.co/datasets/allenai/wildguardm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Геометрия E5 до и после дообучения</dc:title>
  <dc:subject>WildGuardTest: E5, CE и CE+SupCon</dc:subject>
  <dc:creator/>
  <cp:keywords>E5, geometry, safety, CE, SupCon, kNN, PCA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