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FAE08" w14:textId="143F7B9E" w:rsidR="0084172F" w:rsidRPr="0086647C" w:rsidRDefault="0084172F" w:rsidP="0084172F">
      <w:pPr>
        <w:shd w:val="clear" w:color="auto" w:fill="FFFFFF"/>
        <w:spacing w:before="100" w:beforeAutospacing="1" w:after="100" w:afterAutospacing="1" w:line="240" w:lineRule="auto"/>
        <w:rPr>
          <w:rFonts w:eastAsia="Times New Roman" w:cstheme="minorHAnsi"/>
          <w:b/>
          <w:bCs/>
          <w:color w:val="102535"/>
          <w:kern w:val="0"/>
          <w:sz w:val="24"/>
          <w:szCs w:val="24"/>
          <w14:ligatures w14:val="none"/>
        </w:rPr>
      </w:pPr>
      <w:r w:rsidRPr="0086647C">
        <w:rPr>
          <w:rFonts w:eastAsia="Times New Roman" w:cstheme="minorHAnsi"/>
          <w:b/>
          <w:bCs/>
          <w:color w:val="102535"/>
          <w:kern w:val="0"/>
          <w:sz w:val="24"/>
          <w:szCs w:val="24"/>
          <w14:ligatures w14:val="none"/>
        </w:rPr>
        <w:t>Introduction</w:t>
      </w:r>
    </w:p>
    <w:p w14:paraId="503D227B" w14:textId="7782C627" w:rsidR="006C6619" w:rsidRPr="006C6619" w:rsidRDefault="006C6619" w:rsidP="006C6619">
      <w:pPr>
        <w:shd w:val="clear" w:color="auto" w:fill="FFFFFF"/>
        <w:spacing w:before="100" w:beforeAutospacing="1" w:after="100" w:afterAutospacing="1" w:line="240" w:lineRule="auto"/>
        <w:rPr>
          <w:rFonts w:eastAsia="Times New Roman" w:cstheme="minorHAnsi"/>
          <w:color w:val="102535"/>
          <w:kern w:val="0"/>
          <w:sz w:val="24"/>
          <w:szCs w:val="24"/>
          <w14:ligatures w14:val="none"/>
        </w:rPr>
      </w:pPr>
      <w:r w:rsidRPr="006C6619">
        <w:rPr>
          <w:rFonts w:eastAsia="Times New Roman" w:cstheme="minorHAnsi"/>
          <w:color w:val="102535"/>
          <w:kern w:val="0"/>
          <w:sz w:val="24"/>
          <w:szCs w:val="24"/>
          <w14:ligatures w14:val="none"/>
        </w:rPr>
        <w:t>Australia and China have extensive and strong business connections</w:t>
      </w:r>
      <w:r w:rsidR="00680684">
        <w:rPr>
          <w:rFonts w:eastAsia="Times New Roman" w:cstheme="minorHAnsi"/>
          <w:color w:val="102535"/>
          <w:kern w:val="0"/>
          <w:sz w:val="24"/>
          <w:szCs w:val="24"/>
          <w14:ligatures w14:val="none"/>
        </w:rPr>
        <w:t xml:space="preserve">. </w:t>
      </w:r>
      <w:r w:rsidRPr="006C6619">
        <w:rPr>
          <w:rFonts w:eastAsia="Times New Roman" w:cstheme="minorHAnsi"/>
          <w:color w:val="102535"/>
          <w:kern w:val="0"/>
          <w:sz w:val="24"/>
          <w:szCs w:val="24"/>
          <w14:ligatures w14:val="none"/>
        </w:rPr>
        <w:t xml:space="preserve">It takes in almost a third of all Australian exports and is the biggest international market for many Australian products and services. </w:t>
      </w:r>
    </w:p>
    <w:p w14:paraId="62E309EE" w14:textId="50E5489D" w:rsidR="006C6619" w:rsidRPr="006C6619" w:rsidRDefault="006C6619" w:rsidP="006C6619">
      <w:pPr>
        <w:shd w:val="clear" w:color="auto" w:fill="FFFFFF"/>
        <w:spacing w:before="100" w:beforeAutospacing="1" w:after="100" w:afterAutospacing="1" w:line="240" w:lineRule="auto"/>
        <w:rPr>
          <w:rFonts w:eastAsia="Times New Roman" w:cstheme="minorHAnsi"/>
          <w:color w:val="102535"/>
          <w:kern w:val="0"/>
          <w:sz w:val="24"/>
          <w:szCs w:val="24"/>
          <w14:ligatures w14:val="none"/>
        </w:rPr>
      </w:pPr>
      <w:r w:rsidRPr="006C6619">
        <w:rPr>
          <w:rFonts w:eastAsia="Times New Roman" w:cstheme="minorHAnsi"/>
          <w:color w:val="102535"/>
          <w:kern w:val="0"/>
          <w:sz w:val="24"/>
          <w:szCs w:val="24"/>
          <w14:ligatures w14:val="none"/>
        </w:rPr>
        <w:t>There are many opportunities for bilateral commerce and investment because of the two countries' significant interconnectedness. Resources and energy make up the majority of Australia's exports to China, with iron ore</w:t>
      </w:r>
      <w:r>
        <w:rPr>
          <w:rFonts w:eastAsia="Times New Roman" w:cstheme="minorHAnsi"/>
          <w:color w:val="102535"/>
          <w:kern w:val="0"/>
          <w:sz w:val="24"/>
          <w:szCs w:val="24"/>
          <w14:ligatures w14:val="none"/>
        </w:rPr>
        <w:t xml:space="preserve"> and</w:t>
      </w:r>
      <w:r w:rsidRPr="006C6619">
        <w:rPr>
          <w:rFonts w:eastAsia="Times New Roman" w:cstheme="minorHAnsi"/>
          <w:color w:val="102535"/>
          <w:kern w:val="0"/>
          <w:sz w:val="24"/>
          <w:szCs w:val="24"/>
          <w14:ligatures w14:val="none"/>
        </w:rPr>
        <w:t xml:space="preserve"> natural gas leading the pack</w:t>
      </w:r>
      <w:r>
        <w:rPr>
          <w:rFonts w:eastAsia="Times New Roman" w:cstheme="minorHAnsi"/>
          <w:color w:val="102535"/>
          <w:kern w:val="0"/>
          <w:sz w:val="24"/>
          <w:szCs w:val="24"/>
          <w14:ligatures w14:val="none"/>
        </w:rPr>
        <w:t>, and the most Australia’s minerals import from China is refined petroleum.</w:t>
      </w:r>
    </w:p>
    <w:p w14:paraId="5F94607E" w14:textId="77777777" w:rsidR="004A0D65" w:rsidRPr="0086647C" w:rsidRDefault="009112A5" w:rsidP="004A0D65">
      <w:pPr>
        <w:shd w:val="clear" w:color="auto" w:fill="FFFFFF"/>
        <w:spacing w:before="100" w:beforeAutospacing="1" w:after="100" w:afterAutospacing="1" w:line="240" w:lineRule="auto"/>
        <w:rPr>
          <w:rFonts w:cstheme="minorHAnsi"/>
          <w:b/>
          <w:bCs/>
          <w:noProof/>
          <w:sz w:val="24"/>
          <w:szCs w:val="24"/>
        </w:rPr>
      </w:pPr>
      <w:r w:rsidRPr="0086647C">
        <w:rPr>
          <w:rFonts w:eastAsia="Times New Roman" w:cstheme="minorHAnsi"/>
          <w:b/>
          <w:bCs/>
          <w:color w:val="102535"/>
          <w:kern w:val="0"/>
          <w:sz w:val="24"/>
          <w:szCs w:val="24"/>
          <w14:ligatures w14:val="none"/>
        </w:rPr>
        <w:t>Bilateral trade</w:t>
      </w:r>
      <w:r w:rsidRPr="0086647C">
        <w:rPr>
          <w:rFonts w:cstheme="minorHAnsi"/>
          <w:b/>
          <w:bCs/>
          <w:noProof/>
          <w:sz w:val="24"/>
          <w:szCs w:val="24"/>
        </w:rPr>
        <w:t xml:space="preserve"> and its importance</w:t>
      </w:r>
      <w:r w:rsidR="006E0003" w:rsidRPr="0086647C">
        <w:rPr>
          <w:rFonts w:cstheme="minorHAnsi"/>
          <w:b/>
          <w:bCs/>
          <w:noProof/>
          <w:sz w:val="24"/>
          <w:szCs w:val="24"/>
        </w:rPr>
        <w:t xml:space="preserve"> </w:t>
      </w:r>
    </w:p>
    <w:p w14:paraId="67455570" w14:textId="6916C58A" w:rsidR="008B15EC" w:rsidRPr="0086647C" w:rsidRDefault="004A0D65" w:rsidP="009112A5">
      <w:pPr>
        <w:shd w:val="clear" w:color="auto" w:fill="FFFFFF"/>
        <w:spacing w:before="100" w:beforeAutospacing="1" w:after="100" w:afterAutospacing="1" w:line="240" w:lineRule="auto"/>
        <w:rPr>
          <w:rFonts w:eastAsia="Times New Roman" w:cstheme="minorHAnsi"/>
          <w:color w:val="102535"/>
          <w:kern w:val="0"/>
          <w:sz w:val="24"/>
          <w:szCs w:val="24"/>
          <w14:ligatures w14:val="none"/>
        </w:rPr>
      </w:pPr>
      <w:r w:rsidRPr="0086647C">
        <w:rPr>
          <w:rFonts w:eastAsia="Times New Roman" w:cstheme="minorHAnsi"/>
          <w:color w:val="102535"/>
          <w:kern w:val="0"/>
          <w:sz w:val="24"/>
          <w:szCs w:val="24"/>
          <w14:ligatures w14:val="none"/>
        </w:rPr>
        <w:t>China ranked ninth in terms of Australian investment in 2021, up 14.5</w:t>
      </w:r>
      <w:r w:rsidR="00D616E0">
        <w:rPr>
          <w:rFonts w:eastAsia="Times New Roman" w:cstheme="minorHAnsi"/>
          <w:color w:val="102535"/>
          <w:kern w:val="0"/>
          <w:sz w:val="24"/>
          <w:szCs w:val="24"/>
          <w14:ligatures w14:val="none"/>
        </w:rPr>
        <w:t xml:space="preserve">% </w:t>
      </w:r>
      <w:r w:rsidRPr="0086647C">
        <w:rPr>
          <w:rFonts w:eastAsia="Times New Roman" w:cstheme="minorHAnsi"/>
          <w:color w:val="102535"/>
          <w:kern w:val="0"/>
          <w:sz w:val="24"/>
          <w:szCs w:val="24"/>
          <w14:ligatures w14:val="none"/>
        </w:rPr>
        <w:t>from the year before</w:t>
      </w:r>
      <w:r w:rsidR="00D616E0">
        <w:rPr>
          <w:rFonts w:eastAsia="Times New Roman" w:cstheme="minorHAnsi"/>
          <w:color w:val="102535"/>
          <w:kern w:val="0"/>
          <w:sz w:val="24"/>
          <w:szCs w:val="24"/>
          <w14:ligatures w14:val="none"/>
        </w:rPr>
        <w:t>.</w:t>
      </w:r>
    </w:p>
    <w:p w14:paraId="03815F0C" w14:textId="6FF4DE26" w:rsidR="009112A5" w:rsidRPr="0086647C" w:rsidRDefault="0084172F" w:rsidP="004D2ACB">
      <w:pPr>
        <w:shd w:val="clear" w:color="auto" w:fill="FFFFFF"/>
        <w:spacing w:before="100" w:beforeAutospacing="1" w:after="100" w:afterAutospacing="1" w:line="240" w:lineRule="auto"/>
        <w:jc w:val="center"/>
        <w:rPr>
          <w:rFonts w:eastAsia="Times New Roman" w:cstheme="minorHAnsi"/>
          <w:color w:val="102535"/>
          <w:kern w:val="0"/>
          <w:sz w:val="24"/>
          <w:szCs w:val="24"/>
          <w14:ligatures w14:val="none"/>
        </w:rPr>
      </w:pPr>
      <w:r w:rsidRPr="0086647C">
        <w:rPr>
          <w:rFonts w:cstheme="minorHAnsi"/>
          <w:noProof/>
          <w:sz w:val="24"/>
          <w:szCs w:val="24"/>
        </w:rPr>
        <w:drawing>
          <wp:inline distT="0" distB="0" distL="0" distR="0" wp14:anchorId="767CEB02" wp14:editId="4ADEB3FC">
            <wp:extent cx="5857660" cy="2798202"/>
            <wp:effectExtent l="0" t="0" r="10160" b="2540"/>
            <wp:docPr id="119987715" name="Chart 1">
              <a:extLst xmlns:a="http://schemas.openxmlformats.org/drawingml/2006/main">
                <a:ext uri="{FF2B5EF4-FFF2-40B4-BE49-F238E27FC236}">
                  <a16:creationId xmlns:a16="http://schemas.microsoft.com/office/drawing/2014/main" id="{07A44D2B-FBD9-5EC5-1D2D-B082A0DC8D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271CD72" w14:textId="2E30C318" w:rsidR="000C3512" w:rsidRPr="0086647C" w:rsidRDefault="000C3512" w:rsidP="004D2ACB">
      <w:pPr>
        <w:shd w:val="clear" w:color="auto" w:fill="FFFFFF"/>
        <w:spacing w:before="100" w:beforeAutospacing="1" w:after="100" w:afterAutospacing="1" w:line="240" w:lineRule="auto"/>
        <w:jc w:val="center"/>
        <w:rPr>
          <w:rFonts w:eastAsia="Times New Roman" w:cstheme="minorHAnsi"/>
          <w:b/>
          <w:bCs/>
          <w:color w:val="102535"/>
          <w:kern w:val="0"/>
          <w:sz w:val="24"/>
          <w:szCs w:val="24"/>
          <w14:ligatures w14:val="none"/>
        </w:rPr>
      </w:pPr>
      <w:r w:rsidRPr="0086647C">
        <w:rPr>
          <w:rFonts w:eastAsia="Times New Roman" w:cstheme="minorHAnsi"/>
          <w:b/>
          <w:bCs/>
          <w:color w:val="102535"/>
          <w:kern w:val="0"/>
          <w:sz w:val="24"/>
          <w:szCs w:val="24"/>
          <w14:ligatures w14:val="none"/>
        </w:rPr>
        <w:t>Figure 1. Top 5 Australia’s minerals and fuels exported to China</w:t>
      </w:r>
    </w:p>
    <w:p w14:paraId="33EFAF37" w14:textId="77777777" w:rsidR="0076548C" w:rsidRDefault="00117863" w:rsidP="0076548C">
      <w:pPr>
        <w:shd w:val="clear" w:color="auto" w:fill="FFFFFF"/>
        <w:spacing w:before="100" w:beforeAutospacing="1" w:after="100" w:afterAutospacing="1" w:line="240" w:lineRule="auto"/>
        <w:rPr>
          <w:rFonts w:eastAsia="Times New Roman" w:cstheme="minorHAnsi"/>
          <w:color w:val="102535"/>
          <w:kern w:val="0"/>
          <w:sz w:val="24"/>
          <w:szCs w:val="24"/>
          <w14:ligatures w14:val="none"/>
        </w:rPr>
      </w:pPr>
      <w:r w:rsidRPr="0086647C">
        <w:rPr>
          <w:rFonts w:eastAsia="Times New Roman" w:cstheme="minorHAnsi"/>
          <w:color w:val="102535"/>
          <w:kern w:val="0"/>
          <w:sz w:val="24"/>
          <w:szCs w:val="24"/>
          <w14:ligatures w14:val="none"/>
        </w:rPr>
        <w:t>According to the Department of Foreign Affairs and Trade (DFAT) data,</w:t>
      </w:r>
      <w:r w:rsidR="007331C7" w:rsidRPr="0086647C">
        <w:rPr>
          <w:rFonts w:eastAsia="Times New Roman" w:cstheme="minorHAnsi"/>
          <w:color w:val="102535"/>
          <w:kern w:val="0"/>
          <w:sz w:val="24"/>
          <w:szCs w:val="24"/>
          <w14:ligatures w14:val="none"/>
        </w:rPr>
        <w:t xml:space="preserve"> bilateral </w:t>
      </w:r>
      <w:r w:rsidR="00B4571F" w:rsidRPr="0086647C">
        <w:rPr>
          <w:rFonts w:eastAsia="Times New Roman" w:cstheme="minorHAnsi"/>
          <w:color w:val="102535"/>
          <w:kern w:val="0"/>
          <w:sz w:val="24"/>
          <w:szCs w:val="24"/>
          <w14:ligatures w14:val="none"/>
        </w:rPr>
        <w:t xml:space="preserve">trade in minerals and fuels between the two nations was </w:t>
      </w:r>
      <w:r w:rsidR="00735F22" w:rsidRPr="0086647C">
        <w:rPr>
          <w:rFonts w:eastAsia="Times New Roman" w:cstheme="minorHAnsi"/>
          <w:color w:val="102535"/>
          <w:kern w:val="0"/>
          <w:sz w:val="24"/>
          <w:szCs w:val="24"/>
          <w14:ligatures w14:val="none"/>
        </w:rPr>
        <w:t xml:space="preserve">A$124.49 </w:t>
      </w:r>
      <w:r w:rsidR="009810CD" w:rsidRPr="0086647C">
        <w:rPr>
          <w:rFonts w:eastAsia="Times New Roman" w:cstheme="minorHAnsi"/>
          <w:color w:val="102535"/>
          <w:kern w:val="0"/>
          <w:sz w:val="24"/>
          <w:szCs w:val="24"/>
          <w14:ligatures w14:val="none"/>
        </w:rPr>
        <w:t>million</w:t>
      </w:r>
      <w:r w:rsidR="00735F22" w:rsidRPr="0086647C">
        <w:rPr>
          <w:rFonts w:eastAsia="Times New Roman" w:cstheme="minorHAnsi"/>
          <w:color w:val="102535"/>
          <w:kern w:val="0"/>
          <w:sz w:val="24"/>
          <w:szCs w:val="24"/>
          <w14:ligatures w14:val="none"/>
        </w:rPr>
        <w:t xml:space="preserve"> </w:t>
      </w:r>
      <w:r w:rsidR="00B4571F" w:rsidRPr="0086647C">
        <w:rPr>
          <w:rFonts w:eastAsia="Times New Roman" w:cstheme="minorHAnsi"/>
          <w:color w:val="102535"/>
          <w:kern w:val="0"/>
          <w:sz w:val="24"/>
          <w:szCs w:val="24"/>
          <w14:ligatures w14:val="none"/>
        </w:rPr>
        <w:t xml:space="preserve">in 2022, down </w:t>
      </w:r>
      <w:r w:rsidR="005608C6" w:rsidRPr="0086647C">
        <w:rPr>
          <w:rFonts w:eastAsia="Times New Roman" w:cstheme="minorHAnsi"/>
          <w:color w:val="102535"/>
          <w:kern w:val="0"/>
          <w:sz w:val="24"/>
          <w:szCs w:val="24"/>
          <w14:ligatures w14:val="none"/>
        </w:rPr>
        <w:t>15% compared to 2021</w:t>
      </w:r>
      <w:r w:rsidR="000C3512" w:rsidRPr="0086647C">
        <w:rPr>
          <w:rFonts w:eastAsia="Times New Roman" w:cstheme="minorHAnsi"/>
          <w:color w:val="102535"/>
          <w:kern w:val="0"/>
          <w:sz w:val="24"/>
          <w:szCs w:val="24"/>
          <w14:ligatures w14:val="none"/>
        </w:rPr>
        <w:t xml:space="preserve"> (Figure 1)</w:t>
      </w:r>
      <w:r w:rsidR="00F742BF" w:rsidRPr="0086647C">
        <w:rPr>
          <w:rFonts w:eastAsia="Times New Roman" w:cstheme="minorHAnsi"/>
          <w:color w:val="102535"/>
          <w:kern w:val="0"/>
          <w:sz w:val="24"/>
          <w:szCs w:val="24"/>
          <w14:ligatures w14:val="none"/>
        </w:rPr>
        <w:t>.</w:t>
      </w:r>
      <w:r w:rsidR="00F90937" w:rsidRPr="0086647C">
        <w:rPr>
          <w:rFonts w:eastAsia="Times New Roman" w:cstheme="minorHAnsi"/>
          <w:color w:val="102535"/>
          <w:kern w:val="0"/>
          <w:sz w:val="24"/>
          <w:szCs w:val="24"/>
          <w14:ligatures w14:val="none"/>
        </w:rPr>
        <w:t xml:space="preserve"> Iron ore and concentrates is the most exported minerals resource which </w:t>
      </w:r>
      <w:r w:rsidR="000C3512" w:rsidRPr="0086647C">
        <w:rPr>
          <w:rFonts w:eastAsia="Times New Roman" w:cstheme="minorHAnsi"/>
          <w:color w:val="102535"/>
          <w:kern w:val="0"/>
          <w:sz w:val="24"/>
          <w:szCs w:val="24"/>
          <w14:ligatures w14:val="none"/>
        </w:rPr>
        <w:t xml:space="preserve">is </w:t>
      </w:r>
      <w:r w:rsidR="009810CD" w:rsidRPr="0086647C">
        <w:rPr>
          <w:rFonts w:eastAsia="Times New Roman" w:cstheme="minorHAnsi"/>
          <w:color w:val="102535"/>
          <w:kern w:val="0"/>
          <w:sz w:val="24"/>
          <w:szCs w:val="24"/>
          <w14:ligatures w14:val="none"/>
        </w:rPr>
        <w:t>approximately A$103.5 million in 2022.</w:t>
      </w:r>
      <w:r w:rsidR="0076548C" w:rsidRPr="0076548C">
        <w:rPr>
          <w:rFonts w:eastAsia="Times New Roman" w:cstheme="minorHAnsi"/>
          <w:color w:val="102535"/>
          <w:kern w:val="0"/>
          <w:sz w:val="24"/>
          <w:szCs w:val="24"/>
          <w14:ligatures w14:val="none"/>
        </w:rPr>
        <w:t xml:space="preserve"> </w:t>
      </w:r>
    </w:p>
    <w:p w14:paraId="11A45C62" w14:textId="206D9B11" w:rsidR="0076548C" w:rsidRDefault="0076548C" w:rsidP="0076548C">
      <w:pPr>
        <w:shd w:val="clear" w:color="auto" w:fill="FFFFFF"/>
        <w:spacing w:before="100" w:beforeAutospacing="1" w:after="100" w:afterAutospacing="1" w:line="240" w:lineRule="auto"/>
        <w:rPr>
          <w:rFonts w:eastAsia="Times New Roman" w:cstheme="minorHAnsi"/>
          <w:color w:val="102535"/>
          <w:kern w:val="0"/>
          <w:sz w:val="24"/>
          <w:szCs w:val="24"/>
          <w14:ligatures w14:val="none"/>
        </w:rPr>
      </w:pPr>
      <w:r w:rsidRPr="0086647C">
        <w:rPr>
          <w:rFonts w:eastAsia="Times New Roman" w:cstheme="minorHAnsi"/>
          <w:color w:val="102535"/>
          <w:kern w:val="0"/>
          <w:sz w:val="24"/>
          <w:szCs w:val="24"/>
          <w14:ligatures w14:val="none"/>
        </w:rPr>
        <w:t>Many Australian exports, including iron ores and coal, still mostly go to China which bring several advantages for minerals and fuels sector.</w:t>
      </w:r>
      <w:r w:rsidR="00E9074A" w:rsidRPr="00E9074A">
        <w:t xml:space="preserve"> </w:t>
      </w:r>
      <w:r w:rsidR="00E9074A" w:rsidRPr="00E9074A">
        <w:rPr>
          <w:rFonts w:eastAsia="Times New Roman" w:cstheme="minorHAnsi"/>
          <w:color w:val="102535"/>
          <w:kern w:val="0"/>
          <w:sz w:val="24"/>
          <w:szCs w:val="24"/>
          <w14:ligatures w14:val="none"/>
        </w:rPr>
        <w:t>70.1% of all Chinese investment inflows were made in the mining sector</w:t>
      </w:r>
      <w:r w:rsidRPr="0086647C">
        <w:rPr>
          <w:rFonts w:eastAsia="Times New Roman" w:cstheme="minorHAnsi"/>
          <w:color w:val="102535"/>
          <w:kern w:val="0"/>
          <w:sz w:val="24"/>
          <w:szCs w:val="24"/>
          <w14:ligatures w14:val="none"/>
        </w:rPr>
        <w:t>, and renewable energy received 3.2</w:t>
      </w:r>
      <w:r w:rsidR="00831886">
        <w:rPr>
          <w:rFonts w:eastAsia="Times New Roman" w:cstheme="minorHAnsi"/>
          <w:color w:val="102535"/>
          <w:kern w:val="0"/>
          <w:sz w:val="24"/>
          <w:szCs w:val="24"/>
          <w14:ligatures w14:val="none"/>
        </w:rPr>
        <w:t>%</w:t>
      </w:r>
      <w:r w:rsidRPr="0086647C">
        <w:rPr>
          <w:rFonts w:eastAsia="Times New Roman" w:cstheme="minorHAnsi"/>
          <w:color w:val="102535"/>
          <w:kern w:val="0"/>
          <w:sz w:val="24"/>
          <w:szCs w:val="24"/>
          <w14:ligatures w14:val="none"/>
        </w:rPr>
        <w:t xml:space="preserve"> (AUD 25 million) of the total AUD 778.2 million.</w:t>
      </w:r>
    </w:p>
    <w:p w14:paraId="61CAF072" w14:textId="75D0A26E" w:rsidR="00F90937" w:rsidRPr="0086647C" w:rsidRDefault="00A6725F" w:rsidP="0076548C">
      <w:pPr>
        <w:rPr>
          <w:rFonts w:eastAsia="Times New Roman" w:cstheme="minorHAnsi"/>
          <w:color w:val="102535"/>
          <w:kern w:val="0"/>
          <w:sz w:val="24"/>
          <w:szCs w:val="24"/>
          <w14:ligatures w14:val="none"/>
        </w:rPr>
      </w:pPr>
      <w:r>
        <w:rPr>
          <w:sz w:val="24"/>
          <w:szCs w:val="24"/>
        </w:rPr>
        <w:lastRenderedPageBreak/>
        <w:t>A</w:t>
      </w:r>
      <w:r w:rsidR="0076548C" w:rsidRPr="00B46825">
        <w:rPr>
          <w:sz w:val="24"/>
          <w:szCs w:val="24"/>
        </w:rPr>
        <w:t>ccording to the Minerals Council of Australia</w:t>
      </w:r>
      <w:r>
        <w:rPr>
          <w:sz w:val="24"/>
          <w:szCs w:val="24"/>
        </w:rPr>
        <w:t xml:space="preserve"> (MCA)</w:t>
      </w:r>
      <w:r w:rsidR="0076548C" w:rsidRPr="00B46825">
        <w:rPr>
          <w:sz w:val="24"/>
          <w:szCs w:val="24"/>
        </w:rPr>
        <w:t xml:space="preserve"> (201</w:t>
      </w:r>
      <w:r>
        <w:rPr>
          <w:sz w:val="24"/>
          <w:szCs w:val="24"/>
        </w:rPr>
        <w:t>7</w:t>
      </w:r>
      <w:r w:rsidR="0076548C" w:rsidRPr="00B46825">
        <w:rPr>
          <w:sz w:val="24"/>
          <w:szCs w:val="24"/>
        </w:rPr>
        <w:t xml:space="preserve">), this sector is responsible for about </w:t>
      </w:r>
      <w:r>
        <w:rPr>
          <w:sz w:val="24"/>
          <w:szCs w:val="24"/>
        </w:rPr>
        <w:t>50%</w:t>
      </w:r>
      <w:r w:rsidR="0076548C" w:rsidRPr="00B46825">
        <w:rPr>
          <w:sz w:val="24"/>
          <w:szCs w:val="24"/>
        </w:rPr>
        <w:t xml:space="preserve"> of all Australian exports. Moreover, this industry attracts significant foreign investment which further supports its development.</w:t>
      </w:r>
      <w:r w:rsidR="0076548C">
        <w:rPr>
          <w:sz w:val="24"/>
          <w:szCs w:val="24"/>
        </w:rPr>
        <w:t xml:space="preserve"> </w:t>
      </w:r>
      <w:r w:rsidR="0076548C" w:rsidRPr="0086647C">
        <w:rPr>
          <w:rFonts w:eastAsia="Times New Roman" w:cstheme="minorHAnsi"/>
          <w:color w:val="102535"/>
          <w:kern w:val="0"/>
          <w:sz w:val="24"/>
          <w:szCs w:val="24"/>
          <w14:ligatures w14:val="none"/>
        </w:rPr>
        <w:t xml:space="preserve">As stated by the </w:t>
      </w:r>
      <w:r>
        <w:rPr>
          <w:rFonts w:eastAsia="Times New Roman" w:cstheme="minorHAnsi"/>
          <w:color w:val="102535"/>
          <w:kern w:val="0"/>
          <w:sz w:val="24"/>
          <w:szCs w:val="24"/>
          <w14:ligatures w14:val="none"/>
        </w:rPr>
        <w:t>MCA</w:t>
      </w:r>
      <w:r w:rsidR="0076548C" w:rsidRPr="0086647C">
        <w:rPr>
          <w:rFonts w:eastAsia="Times New Roman" w:cstheme="minorHAnsi"/>
          <w:color w:val="102535"/>
          <w:kern w:val="0"/>
          <w:sz w:val="24"/>
          <w:szCs w:val="24"/>
          <w14:ligatures w14:val="none"/>
        </w:rPr>
        <w:t xml:space="preserve"> (2017), "the importance of iron ore, copper ores, and coal gas cannot be overstated,"</w:t>
      </w:r>
      <w:r w:rsidR="0076548C">
        <w:rPr>
          <w:rFonts w:eastAsia="Times New Roman" w:cstheme="minorHAnsi"/>
          <w:color w:val="102535"/>
          <w:kern w:val="0"/>
          <w:sz w:val="24"/>
          <w:szCs w:val="24"/>
          <w14:ligatures w14:val="none"/>
        </w:rPr>
        <w:t xml:space="preserve"> </w:t>
      </w:r>
      <w:r w:rsidR="0076548C" w:rsidRPr="00B46825">
        <w:rPr>
          <w:rFonts w:eastAsia="Times New Roman" w:cstheme="minorHAnsi"/>
          <w:color w:val="102535"/>
          <w:kern w:val="0"/>
          <w:sz w:val="24"/>
          <w:szCs w:val="24"/>
          <w14:ligatures w14:val="none"/>
        </w:rPr>
        <w:t>since they serve as the cornerstones of both industrial production and energy generation. These resources are essential for producing energy through thermal power plants, which depend heavily on coal gas to function properly. Iron ore is also used to make steel</w:t>
      </w:r>
      <w:r>
        <w:rPr>
          <w:rFonts w:eastAsia="Times New Roman" w:cstheme="minorHAnsi"/>
          <w:color w:val="102535"/>
          <w:kern w:val="0"/>
          <w:sz w:val="24"/>
          <w:szCs w:val="24"/>
          <w14:ligatures w14:val="none"/>
        </w:rPr>
        <w:t xml:space="preserve"> - </w:t>
      </w:r>
      <w:r w:rsidR="0076548C" w:rsidRPr="00B46825">
        <w:rPr>
          <w:rFonts w:eastAsia="Times New Roman" w:cstheme="minorHAnsi"/>
          <w:color w:val="102535"/>
          <w:kern w:val="0"/>
          <w:sz w:val="24"/>
          <w:szCs w:val="24"/>
          <w14:ligatures w14:val="none"/>
        </w:rPr>
        <w:t>the foundation of several sectors like construction and the automobile industry.</w:t>
      </w:r>
    </w:p>
    <w:p w14:paraId="47487F44" w14:textId="030C82CC" w:rsidR="004A0D65" w:rsidRPr="0086647C" w:rsidRDefault="004A0D65" w:rsidP="00F052AD">
      <w:pPr>
        <w:shd w:val="clear" w:color="auto" w:fill="FFFFFF"/>
        <w:spacing w:before="100" w:beforeAutospacing="1" w:after="100" w:afterAutospacing="1" w:line="240" w:lineRule="auto"/>
        <w:jc w:val="center"/>
        <w:rPr>
          <w:rFonts w:eastAsia="Times New Roman" w:cstheme="minorHAnsi"/>
          <w:color w:val="102535"/>
          <w:kern w:val="0"/>
          <w:sz w:val="24"/>
          <w:szCs w:val="24"/>
          <w14:ligatures w14:val="none"/>
        </w:rPr>
      </w:pPr>
      <w:r w:rsidRPr="0086647C">
        <w:rPr>
          <w:rFonts w:cstheme="minorHAnsi"/>
          <w:noProof/>
          <w:sz w:val="24"/>
          <w:szCs w:val="24"/>
        </w:rPr>
        <w:drawing>
          <wp:inline distT="0" distB="0" distL="0" distR="0" wp14:anchorId="12027014" wp14:editId="67DA52B3">
            <wp:extent cx="6139543" cy="3168650"/>
            <wp:effectExtent l="0" t="0" r="13970" b="12700"/>
            <wp:docPr id="19046720" name="Chart 1">
              <a:extLst xmlns:a="http://schemas.openxmlformats.org/drawingml/2006/main">
                <a:ext uri="{FF2B5EF4-FFF2-40B4-BE49-F238E27FC236}">
                  <a16:creationId xmlns:a16="http://schemas.microsoft.com/office/drawing/2014/main" id="{D2FC691F-00D5-0AB6-8349-B9D7F9FCD7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4CB8A62" w14:textId="4701B5C3" w:rsidR="000C3512" w:rsidRPr="0086647C" w:rsidRDefault="000C3512" w:rsidP="000C3512">
      <w:pPr>
        <w:shd w:val="clear" w:color="auto" w:fill="FFFFFF"/>
        <w:spacing w:before="100" w:beforeAutospacing="1" w:after="100" w:afterAutospacing="1" w:line="240" w:lineRule="auto"/>
        <w:jc w:val="center"/>
        <w:rPr>
          <w:rFonts w:eastAsia="Times New Roman" w:cstheme="minorHAnsi"/>
          <w:b/>
          <w:bCs/>
          <w:color w:val="102535"/>
          <w:kern w:val="0"/>
          <w:sz w:val="24"/>
          <w:szCs w:val="24"/>
          <w14:ligatures w14:val="none"/>
        </w:rPr>
      </w:pPr>
      <w:r w:rsidRPr="0086647C">
        <w:rPr>
          <w:rFonts w:eastAsia="Times New Roman" w:cstheme="minorHAnsi"/>
          <w:b/>
          <w:bCs/>
          <w:color w:val="102535"/>
          <w:kern w:val="0"/>
          <w:sz w:val="24"/>
          <w:szCs w:val="24"/>
          <w14:ligatures w14:val="none"/>
        </w:rPr>
        <w:t xml:space="preserve">Figure </w:t>
      </w:r>
      <w:r w:rsidRPr="0086647C">
        <w:rPr>
          <w:rFonts w:eastAsia="Times New Roman" w:cstheme="minorHAnsi"/>
          <w:b/>
          <w:bCs/>
          <w:color w:val="102535"/>
          <w:kern w:val="0"/>
          <w:sz w:val="24"/>
          <w:szCs w:val="24"/>
          <w14:ligatures w14:val="none"/>
        </w:rPr>
        <w:t>2</w:t>
      </w:r>
      <w:r w:rsidRPr="0086647C">
        <w:rPr>
          <w:rFonts w:eastAsia="Times New Roman" w:cstheme="minorHAnsi"/>
          <w:b/>
          <w:bCs/>
          <w:color w:val="102535"/>
          <w:kern w:val="0"/>
          <w:sz w:val="24"/>
          <w:szCs w:val="24"/>
          <w14:ligatures w14:val="none"/>
        </w:rPr>
        <w:t xml:space="preserve">. Top 5 Australia’s minerals and fuels </w:t>
      </w:r>
      <w:r w:rsidRPr="0086647C">
        <w:rPr>
          <w:rFonts w:eastAsia="Times New Roman" w:cstheme="minorHAnsi"/>
          <w:b/>
          <w:bCs/>
          <w:color w:val="102535"/>
          <w:kern w:val="0"/>
          <w:sz w:val="24"/>
          <w:szCs w:val="24"/>
          <w14:ligatures w14:val="none"/>
        </w:rPr>
        <w:t>im</w:t>
      </w:r>
      <w:r w:rsidRPr="0086647C">
        <w:rPr>
          <w:rFonts w:eastAsia="Times New Roman" w:cstheme="minorHAnsi"/>
          <w:b/>
          <w:bCs/>
          <w:color w:val="102535"/>
          <w:kern w:val="0"/>
          <w:sz w:val="24"/>
          <w:szCs w:val="24"/>
          <w14:ligatures w14:val="none"/>
        </w:rPr>
        <w:t xml:space="preserve">ported </w:t>
      </w:r>
      <w:r w:rsidR="006C6619">
        <w:rPr>
          <w:rFonts w:eastAsia="Times New Roman" w:cstheme="minorHAnsi"/>
          <w:b/>
          <w:bCs/>
          <w:color w:val="102535"/>
          <w:kern w:val="0"/>
          <w:sz w:val="24"/>
          <w:szCs w:val="24"/>
          <w14:ligatures w14:val="none"/>
        </w:rPr>
        <w:t>from</w:t>
      </w:r>
      <w:r w:rsidRPr="0086647C">
        <w:rPr>
          <w:rFonts w:eastAsia="Times New Roman" w:cstheme="minorHAnsi"/>
          <w:b/>
          <w:bCs/>
          <w:color w:val="102535"/>
          <w:kern w:val="0"/>
          <w:sz w:val="24"/>
          <w:szCs w:val="24"/>
          <w14:ligatures w14:val="none"/>
        </w:rPr>
        <w:t xml:space="preserve"> China</w:t>
      </w:r>
    </w:p>
    <w:p w14:paraId="46A5E192" w14:textId="4592F294" w:rsidR="000C3512" w:rsidRPr="0086647C" w:rsidRDefault="00B71DC4" w:rsidP="009112A5">
      <w:pPr>
        <w:shd w:val="clear" w:color="auto" w:fill="FFFFFF"/>
        <w:spacing w:before="100" w:beforeAutospacing="1" w:after="100" w:afterAutospacing="1" w:line="240" w:lineRule="auto"/>
        <w:rPr>
          <w:rFonts w:eastAsia="Times New Roman" w:cstheme="minorHAnsi"/>
          <w:color w:val="102535"/>
          <w:kern w:val="0"/>
          <w:sz w:val="24"/>
          <w:szCs w:val="24"/>
          <w14:ligatures w14:val="none"/>
        </w:rPr>
      </w:pPr>
      <w:r w:rsidRPr="0086647C">
        <w:rPr>
          <w:rFonts w:eastAsia="Times New Roman" w:cstheme="minorHAnsi"/>
          <w:color w:val="102535"/>
          <w:kern w:val="0"/>
          <w:sz w:val="24"/>
          <w:szCs w:val="24"/>
          <w14:ligatures w14:val="none"/>
        </w:rPr>
        <w:t xml:space="preserve">In Figure 2, it can be seen clearly that </w:t>
      </w:r>
      <w:r w:rsidR="00C86DD2" w:rsidRPr="0086647C">
        <w:rPr>
          <w:rFonts w:eastAsia="Times New Roman" w:cstheme="minorHAnsi"/>
          <w:color w:val="102535"/>
          <w:kern w:val="0"/>
          <w:sz w:val="24"/>
          <w:szCs w:val="24"/>
          <w14:ligatures w14:val="none"/>
        </w:rPr>
        <w:t>f</w:t>
      </w:r>
      <w:r w:rsidR="00C86DD2" w:rsidRPr="0086647C">
        <w:rPr>
          <w:rFonts w:eastAsia="Times New Roman" w:cstheme="minorHAnsi"/>
          <w:color w:val="102535"/>
          <w:kern w:val="0"/>
          <w:sz w:val="24"/>
          <w:szCs w:val="24"/>
          <w14:ligatures w14:val="none"/>
        </w:rPr>
        <w:t xml:space="preserve">rom 2014 to 2022, </w:t>
      </w:r>
      <w:r w:rsidR="00C86DD2" w:rsidRPr="0086647C">
        <w:rPr>
          <w:rFonts w:eastAsia="Times New Roman" w:cstheme="minorHAnsi"/>
          <w:color w:val="102535"/>
          <w:kern w:val="0"/>
          <w:sz w:val="24"/>
          <w:szCs w:val="24"/>
          <w14:ligatures w14:val="none"/>
        </w:rPr>
        <w:t xml:space="preserve">refined petroleum </w:t>
      </w:r>
      <w:r w:rsidR="00C86DD2" w:rsidRPr="0086647C">
        <w:rPr>
          <w:rFonts w:eastAsia="Times New Roman" w:cstheme="minorHAnsi"/>
          <w:color w:val="102535"/>
          <w:kern w:val="0"/>
          <w:sz w:val="24"/>
          <w:szCs w:val="24"/>
          <w14:ligatures w14:val="none"/>
        </w:rPr>
        <w:t>had the largest flows of minerals exported from Australia</w:t>
      </w:r>
      <w:r w:rsidR="00C86DD2" w:rsidRPr="0086647C">
        <w:rPr>
          <w:rFonts w:eastAsia="Times New Roman" w:cstheme="minorHAnsi"/>
          <w:color w:val="102535"/>
          <w:kern w:val="0"/>
          <w:sz w:val="24"/>
          <w:szCs w:val="24"/>
          <w14:ligatures w14:val="none"/>
        </w:rPr>
        <w:t xml:space="preserve">. It brought Australia </w:t>
      </w:r>
      <w:r w:rsidR="0022673C" w:rsidRPr="0086647C">
        <w:rPr>
          <w:rFonts w:eastAsia="Times New Roman" w:cstheme="minorHAnsi"/>
          <w:color w:val="102535"/>
          <w:kern w:val="0"/>
          <w:sz w:val="24"/>
          <w:szCs w:val="24"/>
          <w14:ligatures w14:val="none"/>
        </w:rPr>
        <w:t xml:space="preserve">around </w:t>
      </w:r>
      <w:r w:rsidRPr="0086647C">
        <w:rPr>
          <w:rFonts w:eastAsia="Times New Roman" w:cstheme="minorHAnsi"/>
          <w:color w:val="102535"/>
          <w:kern w:val="0"/>
          <w:sz w:val="24"/>
          <w:szCs w:val="24"/>
          <w14:ligatures w14:val="none"/>
        </w:rPr>
        <w:t xml:space="preserve">A$124.5 million in 2022. </w:t>
      </w:r>
      <w:r w:rsidR="008862BA" w:rsidRPr="0086647C">
        <w:rPr>
          <w:rFonts w:eastAsia="Times New Roman" w:cstheme="minorHAnsi"/>
          <w:color w:val="102535"/>
          <w:kern w:val="0"/>
          <w:sz w:val="24"/>
          <w:szCs w:val="24"/>
          <w14:ligatures w14:val="none"/>
        </w:rPr>
        <w:t xml:space="preserve">Moreover, in DFAT data, there was no data of crude petroleum recorded in 2007, 2008 and from 2012 to 2022. Even that, comparing the other years, the most minerals exported from Australia to China is still </w:t>
      </w:r>
      <w:r w:rsidR="006C6619">
        <w:rPr>
          <w:rFonts w:eastAsia="Times New Roman" w:cstheme="minorHAnsi"/>
          <w:color w:val="102535"/>
          <w:kern w:val="0"/>
          <w:sz w:val="24"/>
          <w:szCs w:val="24"/>
          <w14:ligatures w14:val="none"/>
        </w:rPr>
        <w:t>refined</w:t>
      </w:r>
      <w:r w:rsidR="008862BA">
        <w:rPr>
          <w:rFonts w:eastAsia="Times New Roman" w:cstheme="minorHAnsi"/>
          <w:color w:val="102535"/>
          <w:kern w:val="0"/>
          <w:sz w:val="24"/>
          <w:szCs w:val="24"/>
          <w14:ligatures w14:val="none"/>
        </w:rPr>
        <w:t xml:space="preserve"> petroleum</w:t>
      </w:r>
      <w:r w:rsidR="008862BA" w:rsidRPr="0086647C">
        <w:rPr>
          <w:rFonts w:eastAsia="Times New Roman" w:cstheme="minorHAnsi"/>
          <w:color w:val="102535"/>
          <w:kern w:val="0"/>
          <w:sz w:val="24"/>
          <w:szCs w:val="24"/>
          <w14:ligatures w14:val="none"/>
        </w:rPr>
        <w:t>.</w:t>
      </w:r>
    </w:p>
    <w:p w14:paraId="0DBF7FAF" w14:textId="6EB1C2A5" w:rsidR="00225A99" w:rsidRDefault="00225A99" w:rsidP="00B46825">
      <w:pPr>
        <w:pStyle w:val="NormalWeb"/>
        <w:shd w:val="clear" w:color="auto" w:fill="FFFFFF"/>
        <w:rPr>
          <w:rFonts w:asciiTheme="minorHAnsi" w:hAnsiTheme="minorHAnsi" w:cstheme="minorHAnsi"/>
          <w:color w:val="0A0A0A"/>
        </w:rPr>
      </w:pPr>
      <w:r w:rsidRPr="00225A99">
        <w:rPr>
          <w:rFonts w:asciiTheme="minorHAnsi" w:hAnsiTheme="minorHAnsi" w:cstheme="minorHAnsi"/>
          <w:color w:val="0A0A0A"/>
        </w:rPr>
        <w:t>China's imports of refined petroleum have considerably benefited Australia's minerals and fuels industry by supplying consistent and reasonably priced fuel supplies for the nation's transportation sector. These imported fuels have lessened Australia's reliance on domestic production while assisting it in meeting its energy needs.</w:t>
      </w:r>
    </w:p>
    <w:p w14:paraId="5F48CBF2" w14:textId="0B9C7EF7" w:rsidR="00B46825" w:rsidRPr="00B46825" w:rsidRDefault="00B46825" w:rsidP="00B46825">
      <w:pPr>
        <w:pStyle w:val="NormalWeb"/>
        <w:shd w:val="clear" w:color="auto" w:fill="FFFFFF"/>
        <w:rPr>
          <w:rFonts w:asciiTheme="minorHAnsi" w:hAnsiTheme="minorHAnsi" w:cstheme="minorHAnsi"/>
          <w:color w:val="0A0A0A"/>
        </w:rPr>
      </w:pPr>
      <w:r w:rsidRPr="00B46825">
        <w:rPr>
          <w:rFonts w:asciiTheme="minorHAnsi" w:hAnsiTheme="minorHAnsi" w:cstheme="minorHAnsi"/>
          <w:color w:val="0A0A0A"/>
        </w:rPr>
        <w:t xml:space="preserve">By creating jobs and raising the GDP, these natural resources have </w:t>
      </w:r>
      <w:r>
        <w:rPr>
          <w:rFonts w:asciiTheme="minorHAnsi" w:hAnsiTheme="minorHAnsi" w:cstheme="minorHAnsi"/>
          <w:color w:val="0A0A0A"/>
        </w:rPr>
        <w:t xml:space="preserve">also </w:t>
      </w:r>
      <w:r w:rsidRPr="00B46825">
        <w:rPr>
          <w:rFonts w:asciiTheme="minorHAnsi" w:hAnsiTheme="minorHAnsi" w:cstheme="minorHAnsi"/>
          <w:color w:val="0A0A0A"/>
        </w:rPr>
        <w:t xml:space="preserve">made a significant contribution to the nation's economic development. Despite geopolitical concerns, the two </w:t>
      </w:r>
      <w:r w:rsidRPr="00B46825">
        <w:rPr>
          <w:rFonts w:asciiTheme="minorHAnsi" w:hAnsiTheme="minorHAnsi" w:cstheme="minorHAnsi"/>
          <w:color w:val="0A0A0A"/>
        </w:rPr>
        <w:lastRenderedPageBreak/>
        <w:t>nations' economic and commercial cooperation has been expanding steadily over the previous two years.</w:t>
      </w:r>
    </w:p>
    <w:p w14:paraId="4C995FE6" w14:textId="4A1F7870" w:rsidR="009112A5" w:rsidRPr="00817F32" w:rsidRDefault="009112A5" w:rsidP="009112A5">
      <w:pPr>
        <w:shd w:val="clear" w:color="auto" w:fill="FFFFFF"/>
        <w:spacing w:before="100" w:beforeAutospacing="1" w:after="100" w:afterAutospacing="1" w:line="240" w:lineRule="auto"/>
        <w:rPr>
          <w:rFonts w:eastAsia="Times New Roman" w:cstheme="minorHAnsi"/>
          <w:b/>
          <w:bCs/>
          <w:color w:val="102535"/>
          <w:kern w:val="0"/>
          <w:sz w:val="24"/>
          <w:szCs w:val="24"/>
          <w14:ligatures w14:val="none"/>
        </w:rPr>
      </w:pPr>
      <w:r w:rsidRPr="00817F32">
        <w:rPr>
          <w:rFonts w:eastAsia="Times New Roman" w:cstheme="minorHAnsi"/>
          <w:b/>
          <w:bCs/>
          <w:color w:val="102535"/>
          <w:kern w:val="0"/>
          <w:sz w:val="24"/>
          <w:szCs w:val="24"/>
          <w14:ligatures w14:val="none"/>
        </w:rPr>
        <w:t xml:space="preserve">The factors influence the trade </w:t>
      </w:r>
      <w:r w:rsidR="004A0D65" w:rsidRPr="00817F32">
        <w:rPr>
          <w:rFonts w:eastAsia="Times New Roman" w:cstheme="minorHAnsi"/>
          <w:b/>
          <w:bCs/>
          <w:color w:val="102535"/>
          <w:kern w:val="0"/>
          <w:sz w:val="24"/>
          <w:szCs w:val="24"/>
          <w14:ligatures w14:val="none"/>
        </w:rPr>
        <w:t xml:space="preserve">flows </w:t>
      </w:r>
      <w:r w:rsidRPr="00817F32">
        <w:rPr>
          <w:rFonts w:eastAsia="Times New Roman" w:cstheme="minorHAnsi"/>
          <w:b/>
          <w:bCs/>
          <w:color w:val="102535"/>
          <w:kern w:val="0"/>
          <w:sz w:val="24"/>
          <w:szCs w:val="24"/>
          <w14:ligatures w14:val="none"/>
        </w:rPr>
        <w:t>between Australia</w:t>
      </w:r>
      <w:r w:rsidR="007623B7" w:rsidRPr="00817F32">
        <w:rPr>
          <w:rFonts w:eastAsia="Times New Roman" w:cstheme="minorHAnsi"/>
          <w:b/>
          <w:bCs/>
          <w:color w:val="102535"/>
          <w:kern w:val="0"/>
          <w:sz w:val="24"/>
          <w:szCs w:val="24"/>
          <w14:ligatures w14:val="none"/>
        </w:rPr>
        <w:t xml:space="preserve"> and China</w:t>
      </w:r>
    </w:p>
    <w:p w14:paraId="0E1E19EE" w14:textId="0F01F65D" w:rsidR="00817F32" w:rsidRDefault="00817F32" w:rsidP="00B46825">
      <w:pPr>
        <w:rPr>
          <w:sz w:val="24"/>
          <w:szCs w:val="24"/>
        </w:rPr>
      </w:pPr>
      <w:r w:rsidRPr="00817F32">
        <w:rPr>
          <w:sz w:val="24"/>
          <w:szCs w:val="24"/>
        </w:rPr>
        <w:t xml:space="preserve">Trade flows between China and Australia </w:t>
      </w:r>
      <w:r>
        <w:rPr>
          <w:sz w:val="24"/>
          <w:szCs w:val="24"/>
        </w:rPr>
        <w:t>can be</w:t>
      </w:r>
      <w:r w:rsidRPr="00817F32">
        <w:rPr>
          <w:sz w:val="24"/>
          <w:szCs w:val="24"/>
        </w:rPr>
        <w:t xml:space="preserve"> impacted by changes in tariffs, quotas, and subsidies. These policy tools will continue to be essential for determining the nature of bilateral trade relations as both countries pursue protectionist policies meant to shield home sectors from foreign competition while fostering exports abroad.</w:t>
      </w:r>
    </w:p>
    <w:p w14:paraId="20703E4C" w14:textId="17C82B5A" w:rsidR="00817F32" w:rsidRDefault="00817F32" w:rsidP="00B46825">
      <w:pPr>
        <w:rPr>
          <w:sz w:val="24"/>
          <w:szCs w:val="24"/>
        </w:rPr>
      </w:pPr>
      <w:r>
        <w:rPr>
          <w:sz w:val="24"/>
          <w:szCs w:val="24"/>
        </w:rPr>
        <w:t xml:space="preserve">I believe </w:t>
      </w:r>
      <w:r w:rsidRPr="00817F32">
        <w:rPr>
          <w:sz w:val="24"/>
          <w:szCs w:val="24"/>
        </w:rPr>
        <w:t xml:space="preserve">the strength of the Australian dollar and the Chinese yuan is quite important. Currency fluctuations can have an impact on trade balances by changing the cost of exports, which changes demand and has an impact on supply chains. </w:t>
      </w:r>
      <w:r>
        <w:rPr>
          <w:sz w:val="24"/>
          <w:szCs w:val="24"/>
        </w:rPr>
        <w:t>T</w:t>
      </w:r>
      <w:r w:rsidRPr="00817F32">
        <w:rPr>
          <w:sz w:val="24"/>
          <w:szCs w:val="24"/>
        </w:rPr>
        <w:t>hese currency swings may also have a significant impact on investment choices made by multinational firms looking to launch new operations or expand current ones.</w:t>
      </w:r>
    </w:p>
    <w:p w14:paraId="5CC7747F" w14:textId="33D57EDA" w:rsidR="00225A99" w:rsidRPr="00225A99" w:rsidRDefault="00225A99" w:rsidP="00B46825">
      <w:pPr>
        <w:rPr>
          <w:rFonts w:eastAsia="Times New Roman" w:cstheme="minorHAnsi"/>
          <w:b/>
          <w:bCs/>
          <w:color w:val="102535"/>
          <w:kern w:val="0"/>
          <w:sz w:val="24"/>
          <w:szCs w:val="24"/>
          <w14:ligatures w14:val="none"/>
        </w:rPr>
      </w:pPr>
      <w:r w:rsidRPr="00225A99">
        <w:rPr>
          <w:b/>
          <w:bCs/>
          <w:sz w:val="24"/>
          <w:szCs w:val="24"/>
        </w:rPr>
        <w:t>Conclusion</w:t>
      </w:r>
    </w:p>
    <w:p w14:paraId="4ECCB3B6" w14:textId="1D770D2C" w:rsidR="0027649D" w:rsidRPr="0086647C" w:rsidRDefault="00225A99" w:rsidP="009112A5">
      <w:pPr>
        <w:shd w:val="clear" w:color="auto" w:fill="FFFFFF"/>
        <w:spacing w:before="100" w:beforeAutospacing="1" w:after="100" w:afterAutospacing="1" w:line="240" w:lineRule="auto"/>
        <w:rPr>
          <w:rFonts w:eastAsia="Times New Roman" w:cstheme="minorHAnsi"/>
          <w:color w:val="102535"/>
          <w:kern w:val="0"/>
          <w:sz w:val="24"/>
          <w:szCs w:val="24"/>
          <w14:ligatures w14:val="none"/>
        </w:rPr>
      </w:pPr>
      <w:r w:rsidRPr="00330252">
        <w:rPr>
          <w:rFonts w:eastAsia="Times New Roman" w:cstheme="minorHAnsi"/>
          <w:color w:val="102535"/>
          <w:kern w:val="0"/>
          <w:sz w:val="24"/>
          <w:szCs w:val="24"/>
          <w14:ligatures w14:val="none"/>
        </w:rPr>
        <w:t>Due to their high demand globally, natural resources are currently advantageous economically, but it is important to keep in mind that they are limited and that extracting them will become more expensive as time goes on. This will encourage the development of alternative sources of income generation in Australia. Nevertheless, these minerals will continue to be important resources that support Australia's thriving economy today not just monetarily but also by fostering international trade links.</w:t>
      </w:r>
    </w:p>
    <w:p w14:paraId="2B153C3B" w14:textId="14EF76C3" w:rsidR="00117863" w:rsidRPr="00225A99" w:rsidRDefault="00117863" w:rsidP="009112A5">
      <w:pPr>
        <w:shd w:val="clear" w:color="auto" w:fill="FFFFFF"/>
        <w:spacing w:before="100" w:beforeAutospacing="1" w:after="100" w:afterAutospacing="1" w:line="240" w:lineRule="auto"/>
        <w:rPr>
          <w:rFonts w:eastAsia="Times New Roman" w:cstheme="minorHAnsi"/>
          <w:b/>
          <w:bCs/>
          <w:color w:val="102535"/>
          <w:kern w:val="0"/>
          <w:sz w:val="24"/>
          <w:szCs w:val="24"/>
          <w14:ligatures w14:val="none"/>
        </w:rPr>
      </w:pPr>
      <w:r w:rsidRPr="00225A99">
        <w:rPr>
          <w:rFonts w:eastAsia="Times New Roman" w:cstheme="minorHAnsi"/>
          <w:b/>
          <w:bCs/>
          <w:color w:val="102535"/>
          <w:kern w:val="0"/>
          <w:sz w:val="24"/>
          <w:szCs w:val="24"/>
          <w14:ligatures w14:val="none"/>
        </w:rPr>
        <w:t>Reference</w:t>
      </w:r>
    </w:p>
    <w:p w14:paraId="167691CE" w14:textId="38A8619E" w:rsidR="00225A99" w:rsidRPr="005C69A1" w:rsidRDefault="00A95F1F" w:rsidP="005C69A1">
      <w:pPr>
        <w:rPr>
          <w:rFonts w:cstheme="minorHAnsi"/>
          <w:sz w:val="24"/>
          <w:szCs w:val="24"/>
        </w:rPr>
      </w:pPr>
      <w:r w:rsidRPr="0086647C">
        <w:rPr>
          <w:rFonts w:cstheme="minorHAnsi"/>
          <w:sz w:val="24"/>
          <w:szCs w:val="24"/>
        </w:rPr>
        <w:t xml:space="preserve">Data: </w:t>
      </w:r>
      <w:hyperlink r:id="rId7" w:history="1">
        <w:r w:rsidRPr="0086647C">
          <w:rPr>
            <w:rStyle w:val="Hyperlink"/>
            <w:rFonts w:cstheme="minorHAnsi"/>
            <w:sz w:val="24"/>
            <w:szCs w:val="24"/>
          </w:rPr>
          <w:t>https://www.dfat.gov.au/sites/default/files/country-sitc-pivot-table-calendar-years.xlsx</w:t>
        </w:r>
      </w:hyperlink>
      <w:r w:rsidRPr="0086647C">
        <w:rPr>
          <w:rFonts w:cstheme="minorHAnsi"/>
          <w:sz w:val="24"/>
          <w:szCs w:val="24"/>
        </w:rPr>
        <w:t xml:space="preserve"> </w:t>
      </w:r>
    </w:p>
    <w:p w14:paraId="4ADCBCCB" w14:textId="7E86DA6D" w:rsidR="0086647C" w:rsidRPr="005C69A1" w:rsidRDefault="0086647C" w:rsidP="005C69A1">
      <w:pPr>
        <w:rPr>
          <w:sz w:val="24"/>
          <w:szCs w:val="24"/>
        </w:rPr>
      </w:pPr>
      <w:r w:rsidRPr="005C69A1">
        <w:rPr>
          <w:sz w:val="24"/>
          <w:szCs w:val="24"/>
        </w:rPr>
        <w:t xml:space="preserve">Interesse, G, 2023, </w:t>
      </w:r>
      <w:r w:rsidRPr="005C69A1">
        <w:rPr>
          <w:i/>
          <w:iCs/>
          <w:sz w:val="24"/>
          <w:szCs w:val="24"/>
        </w:rPr>
        <w:t>China-Australia Trade Relations Growing Stronger</w:t>
      </w:r>
      <w:r w:rsidRPr="005C69A1">
        <w:rPr>
          <w:sz w:val="24"/>
          <w:szCs w:val="24"/>
        </w:rPr>
        <w:t>. [online] China Briefing News. Available at: https://www.china-briefing.com/news/china-australia-trade-relations-growing-stronger/#:~:text=China%20is%20Australia.</w:t>
      </w:r>
    </w:p>
    <w:p w14:paraId="661CABB0" w14:textId="2A9D46CC" w:rsidR="00117863" w:rsidRPr="0086647C" w:rsidRDefault="004A0D65" w:rsidP="00680684">
      <w:pPr>
        <w:rPr>
          <w:rFonts w:eastAsia="Times New Roman" w:cstheme="minorHAnsi"/>
          <w:color w:val="102535"/>
          <w:kern w:val="0"/>
          <w:sz w:val="24"/>
          <w:szCs w:val="24"/>
          <w14:ligatures w14:val="none"/>
        </w:rPr>
      </w:pPr>
      <w:r w:rsidRPr="005C69A1">
        <w:rPr>
          <w:rFonts w:eastAsia="Times New Roman"/>
          <w:color w:val="102535"/>
          <w:kern w:val="0"/>
          <w:sz w:val="24"/>
          <w:szCs w:val="24"/>
          <w14:ligatures w14:val="none"/>
        </w:rPr>
        <w:t xml:space="preserve">Minerals Council of Australia, 2017, </w:t>
      </w:r>
      <w:r w:rsidRPr="005C69A1">
        <w:rPr>
          <w:rFonts w:eastAsia="Times New Roman"/>
          <w:i/>
          <w:iCs/>
          <w:color w:val="102535"/>
          <w:kern w:val="0"/>
          <w:sz w:val="24"/>
          <w:szCs w:val="24"/>
          <w14:ligatures w14:val="none"/>
        </w:rPr>
        <w:t>Mining and METS: engines of economic growth and prosperity for Australians</w:t>
      </w:r>
      <w:r w:rsidRPr="005C69A1">
        <w:rPr>
          <w:rFonts w:eastAsia="Times New Roman"/>
          <w:color w:val="102535"/>
          <w:kern w:val="0"/>
          <w:sz w:val="24"/>
          <w:szCs w:val="24"/>
          <w14:ligatures w14:val="none"/>
        </w:rPr>
        <w:t xml:space="preserve">. </w:t>
      </w:r>
      <w:r w:rsidR="00A95F1F" w:rsidRPr="005C69A1">
        <w:rPr>
          <w:rFonts w:eastAsia="Times New Roman"/>
          <w:color w:val="102535"/>
          <w:kern w:val="0"/>
          <w:sz w:val="24"/>
          <w:szCs w:val="24"/>
          <w14:ligatures w14:val="none"/>
        </w:rPr>
        <w:t xml:space="preserve">Available at: </w:t>
      </w:r>
      <w:r w:rsidRPr="005C69A1">
        <w:rPr>
          <w:rFonts w:eastAsia="Times New Roman"/>
          <w:color w:val="102535"/>
          <w:kern w:val="0"/>
          <w:sz w:val="24"/>
          <w:szCs w:val="24"/>
          <w14:ligatures w14:val="none"/>
        </w:rPr>
        <w:t>https://minerals.org.au/wp-content/uploads/2023/01/Mining-and-METS-engines-of-economic-growth-and-prosperity-for-Australians.pdf</w:t>
      </w:r>
    </w:p>
    <w:p w14:paraId="5E10E37E" w14:textId="77777777" w:rsidR="009112A5" w:rsidRPr="0086647C" w:rsidRDefault="009112A5" w:rsidP="009112A5">
      <w:pPr>
        <w:shd w:val="clear" w:color="auto" w:fill="FFFFFF"/>
        <w:spacing w:before="100" w:beforeAutospacing="1" w:after="100" w:afterAutospacing="1" w:line="240" w:lineRule="auto"/>
        <w:rPr>
          <w:rFonts w:eastAsia="Times New Roman" w:cstheme="minorHAnsi"/>
          <w:color w:val="102535"/>
          <w:kern w:val="0"/>
          <w:sz w:val="24"/>
          <w:szCs w:val="24"/>
          <w14:ligatures w14:val="none"/>
        </w:rPr>
      </w:pPr>
    </w:p>
    <w:p w14:paraId="4783BCE0" w14:textId="3C3CFFE2" w:rsidR="00633264" w:rsidRPr="0086647C" w:rsidRDefault="00633264" w:rsidP="009B5423">
      <w:pPr>
        <w:jc w:val="center"/>
        <w:rPr>
          <w:rFonts w:cstheme="minorHAnsi"/>
          <w:sz w:val="24"/>
          <w:szCs w:val="24"/>
        </w:rPr>
      </w:pPr>
    </w:p>
    <w:sectPr w:rsidR="00633264" w:rsidRPr="0086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557A"/>
    <w:multiLevelType w:val="multilevel"/>
    <w:tmpl w:val="F276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22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55"/>
    <w:rsid w:val="000A4394"/>
    <w:rsid w:val="000C3512"/>
    <w:rsid w:val="00117863"/>
    <w:rsid w:val="00133032"/>
    <w:rsid w:val="00156801"/>
    <w:rsid w:val="001931FE"/>
    <w:rsid w:val="00225A99"/>
    <w:rsid w:val="0022673C"/>
    <w:rsid w:val="00244479"/>
    <w:rsid w:val="0027649D"/>
    <w:rsid w:val="00281DA0"/>
    <w:rsid w:val="00330252"/>
    <w:rsid w:val="00464C33"/>
    <w:rsid w:val="004A0D65"/>
    <w:rsid w:val="004D2ACB"/>
    <w:rsid w:val="005608C6"/>
    <w:rsid w:val="005C69A1"/>
    <w:rsid w:val="005E33BB"/>
    <w:rsid w:val="00633264"/>
    <w:rsid w:val="00680684"/>
    <w:rsid w:val="00690A91"/>
    <w:rsid w:val="006C6619"/>
    <w:rsid w:val="006E0003"/>
    <w:rsid w:val="007331C7"/>
    <w:rsid w:val="00735F22"/>
    <w:rsid w:val="007623B7"/>
    <w:rsid w:val="0076548C"/>
    <w:rsid w:val="00817F32"/>
    <w:rsid w:val="00831886"/>
    <w:rsid w:val="0084172F"/>
    <w:rsid w:val="0086099C"/>
    <w:rsid w:val="0086647C"/>
    <w:rsid w:val="008862BA"/>
    <w:rsid w:val="008B15EC"/>
    <w:rsid w:val="009112A5"/>
    <w:rsid w:val="009810CD"/>
    <w:rsid w:val="009B5423"/>
    <w:rsid w:val="00A6725F"/>
    <w:rsid w:val="00A95F1F"/>
    <w:rsid w:val="00AE6383"/>
    <w:rsid w:val="00B4571F"/>
    <w:rsid w:val="00B46825"/>
    <w:rsid w:val="00B52655"/>
    <w:rsid w:val="00B71DC4"/>
    <w:rsid w:val="00B914A4"/>
    <w:rsid w:val="00B93157"/>
    <w:rsid w:val="00BC4FBA"/>
    <w:rsid w:val="00C47733"/>
    <w:rsid w:val="00C86DD2"/>
    <w:rsid w:val="00CB01B3"/>
    <w:rsid w:val="00D616E0"/>
    <w:rsid w:val="00E9074A"/>
    <w:rsid w:val="00F0064E"/>
    <w:rsid w:val="00F052AD"/>
    <w:rsid w:val="00F734C6"/>
    <w:rsid w:val="00F742BF"/>
    <w:rsid w:val="00F90937"/>
    <w:rsid w:val="00F923B4"/>
    <w:rsid w:val="00FD7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DF9B"/>
  <w15:docId w15:val="{C1AD01E5-7458-443A-94B7-CC462D3DB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4C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17863"/>
    <w:rPr>
      <w:color w:val="0563C1" w:themeColor="hyperlink"/>
      <w:u w:val="single"/>
    </w:rPr>
  </w:style>
  <w:style w:type="character" w:styleId="UnresolvedMention">
    <w:name w:val="Unresolved Mention"/>
    <w:basedOn w:val="DefaultParagraphFont"/>
    <w:uiPriority w:val="99"/>
    <w:semiHidden/>
    <w:unhideWhenUsed/>
    <w:rsid w:val="00A95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903896">
      <w:bodyDiv w:val="1"/>
      <w:marLeft w:val="0"/>
      <w:marRight w:val="0"/>
      <w:marTop w:val="0"/>
      <w:marBottom w:val="0"/>
      <w:divBdr>
        <w:top w:val="none" w:sz="0" w:space="0" w:color="auto"/>
        <w:left w:val="none" w:sz="0" w:space="0" w:color="auto"/>
        <w:bottom w:val="none" w:sz="0" w:space="0" w:color="auto"/>
        <w:right w:val="none" w:sz="0" w:space="0" w:color="auto"/>
      </w:divBdr>
    </w:div>
    <w:div w:id="714818754">
      <w:bodyDiv w:val="1"/>
      <w:marLeft w:val="0"/>
      <w:marRight w:val="0"/>
      <w:marTop w:val="0"/>
      <w:marBottom w:val="0"/>
      <w:divBdr>
        <w:top w:val="none" w:sz="0" w:space="0" w:color="auto"/>
        <w:left w:val="none" w:sz="0" w:space="0" w:color="auto"/>
        <w:bottom w:val="none" w:sz="0" w:space="0" w:color="auto"/>
        <w:right w:val="none" w:sz="0" w:space="0" w:color="auto"/>
      </w:divBdr>
      <w:divsChild>
        <w:div w:id="1793593433">
          <w:marLeft w:val="0"/>
          <w:marRight w:val="0"/>
          <w:marTop w:val="0"/>
          <w:marBottom w:val="0"/>
          <w:divBdr>
            <w:top w:val="none" w:sz="0" w:space="0" w:color="auto"/>
            <w:left w:val="none" w:sz="0" w:space="0" w:color="auto"/>
            <w:bottom w:val="none" w:sz="0" w:space="0" w:color="auto"/>
            <w:right w:val="none" w:sz="0" w:space="0" w:color="auto"/>
          </w:divBdr>
        </w:div>
      </w:divsChild>
    </w:div>
    <w:div w:id="1060787614">
      <w:bodyDiv w:val="1"/>
      <w:marLeft w:val="0"/>
      <w:marRight w:val="0"/>
      <w:marTop w:val="0"/>
      <w:marBottom w:val="0"/>
      <w:divBdr>
        <w:top w:val="none" w:sz="0" w:space="0" w:color="auto"/>
        <w:left w:val="none" w:sz="0" w:space="0" w:color="auto"/>
        <w:bottom w:val="none" w:sz="0" w:space="0" w:color="auto"/>
        <w:right w:val="none" w:sz="0" w:space="0" w:color="auto"/>
      </w:divBdr>
    </w:div>
    <w:div w:id="1185944148">
      <w:bodyDiv w:val="1"/>
      <w:marLeft w:val="0"/>
      <w:marRight w:val="0"/>
      <w:marTop w:val="0"/>
      <w:marBottom w:val="0"/>
      <w:divBdr>
        <w:top w:val="none" w:sz="0" w:space="0" w:color="auto"/>
        <w:left w:val="none" w:sz="0" w:space="0" w:color="auto"/>
        <w:bottom w:val="none" w:sz="0" w:space="0" w:color="auto"/>
        <w:right w:val="none" w:sz="0" w:space="0" w:color="auto"/>
      </w:divBdr>
    </w:div>
    <w:div w:id="1563373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fat.gov.au/sites/default/files/country-sitc-pivot-table-calendar-year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RAN%20YEN%20CHI\Documents\UoA\Year%203\Sem1-2023\ECON%201002\country-sitc-pivot-table-calendar-ye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RAN%20YEN%20CHI\Documents\UoA\Year%203\Sem1-2023\ECON%201002\country-sitc-pivot-table-calendar-year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Top 5 Australia's</a:t>
            </a:r>
            <a:r>
              <a:rPr lang="en-US" sz="1200" baseline="0"/>
              <a:t> minerals and fuels exported to China </a:t>
            </a:r>
            <a:endParaRPr lang="en-US" sz="1200"/>
          </a:p>
        </c:rich>
      </c:tx>
      <c:layout>
        <c:manualLayout>
          <c:xMode val="edge"/>
          <c:yMode val="edge"/>
          <c:x val="0.23646157033354051"/>
          <c:y val="3.835826620636747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640951733115402"/>
          <c:y val="0.12941233323970291"/>
          <c:w val="0.86650044288280004"/>
          <c:h val="0.59816544796112225"/>
        </c:manualLayout>
      </c:layout>
      <c:barChart>
        <c:barDir val="col"/>
        <c:grouping val="clustered"/>
        <c:varyColors val="0"/>
        <c:ser>
          <c:idx val="0"/>
          <c:order val="0"/>
          <c:tx>
            <c:strRef>
              <c:f>Exports!$A$2</c:f>
              <c:strCache>
                <c:ptCount val="1"/>
                <c:pt idx="0">
                  <c:v>281 Iron ore &amp; concentrates</c:v>
                </c:pt>
              </c:strCache>
            </c:strRef>
          </c:tx>
          <c:spPr>
            <a:solidFill>
              <a:schemeClr val="accent1"/>
            </a:solidFill>
            <a:ln>
              <a:noFill/>
            </a:ln>
            <a:effectLst/>
          </c:spPr>
          <c:invertIfNegative val="0"/>
          <c:cat>
            <c:strRef>
              <c:f>Exports!$B$1:$R$1</c:f>
              <c:strCache>
                <c:ptCount val="17"/>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strCache>
            </c:strRef>
          </c:cat>
          <c:val>
            <c:numRef>
              <c:f>Exports!$B$2:$R$2</c:f>
              <c:numCache>
                <c:formatCode>_(* #,##0.00_);_(* \(#,##0.00\);_(* "-"??_);_(@_)</c:formatCode>
                <c:ptCount val="17"/>
                <c:pt idx="0">
                  <c:v>7627491.6129999999</c:v>
                </c:pt>
                <c:pt idx="1">
                  <c:v>9023521.6410000008</c:v>
                </c:pt>
                <c:pt idx="2">
                  <c:v>17931980.434</c:v>
                </c:pt>
                <c:pt idx="3">
                  <c:v>21790196.331</c:v>
                </c:pt>
                <c:pt idx="4">
                  <c:v>34685103.545999996</c:v>
                </c:pt>
                <c:pt idx="5">
                  <c:v>43960473.233000003</c:v>
                </c:pt>
                <c:pt idx="6">
                  <c:v>38439519.450999998</c:v>
                </c:pt>
                <c:pt idx="7">
                  <c:v>52652502.353</c:v>
                </c:pt>
                <c:pt idx="8">
                  <c:v>50581841.153999999</c:v>
                </c:pt>
                <c:pt idx="9">
                  <c:v>38904103.813000001</c:v>
                </c:pt>
                <c:pt idx="10">
                  <c:v>44131530.744000003</c:v>
                </c:pt>
                <c:pt idx="11">
                  <c:v>51671822.952</c:v>
                </c:pt>
                <c:pt idx="12">
                  <c:v>51446584.513999999</c:v>
                </c:pt>
                <c:pt idx="13">
                  <c:v>78997825.778999999</c:v>
                </c:pt>
                <c:pt idx="14">
                  <c:v>94612658.788000003</c:v>
                </c:pt>
                <c:pt idx="15">
                  <c:v>126794589.361</c:v>
                </c:pt>
                <c:pt idx="16">
                  <c:v>103508589.241</c:v>
                </c:pt>
              </c:numCache>
            </c:numRef>
          </c:val>
          <c:extLst>
            <c:ext xmlns:c16="http://schemas.microsoft.com/office/drawing/2014/chart" uri="{C3380CC4-5D6E-409C-BE32-E72D297353CC}">
              <c16:uniqueId val="{00000000-9B1F-4825-8B08-722589E01DD6}"/>
            </c:ext>
          </c:extLst>
        </c:ser>
        <c:ser>
          <c:idx val="1"/>
          <c:order val="1"/>
          <c:tx>
            <c:strRef>
              <c:f>Exports!$A$3</c:f>
              <c:strCache>
                <c:ptCount val="1"/>
                <c:pt idx="0">
                  <c:v>283 Copper ores &amp; concentrates</c:v>
                </c:pt>
              </c:strCache>
            </c:strRef>
          </c:tx>
          <c:spPr>
            <a:solidFill>
              <a:schemeClr val="accent2"/>
            </a:solidFill>
            <a:ln>
              <a:noFill/>
            </a:ln>
            <a:effectLst/>
          </c:spPr>
          <c:invertIfNegative val="0"/>
          <c:cat>
            <c:strRef>
              <c:f>Exports!$B$1:$R$1</c:f>
              <c:strCache>
                <c:ptCount val="17"/>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strCache>
            </c:strRef>
          </c:cat>
          <c:val>
            <c:numRef>
              <c:f>Exports!$B$3:$R$3</c:f>
              <c:numCache>
                <c:formatCode>_(* #,##0.00_);_(* \(#,##0.00\);_(* "-"??_);_(@_)</c:formatCode>
                <c:ptCount val="17"/>
                <c:pt idx="0">
                  <c:v>1189453.483</c:v>
                </c:pt>
                <c:pt idx="1">
                  <c:v>836414.23300000001</c:v>
                </c:pt>
                <c:pt idx="2">
                  <c:v>1217628.2439999999</c:v>
                </c:pt>
                <c:pt idx="3">
                  <c:v>1050143.7050000001</c:v>
                </c:pt>
                <c:pt idx="4">
                  <c:v>1314262.115</c:v>
                </c:pt>
                <c:pt idx="5">
                  <c:v>1500474.1950000001</c:v>
                </c:pt>
                <c:pt idx="6">
                  <c:v>1364324.8030000001</c:v>
                </c:pt>
                <c:pt idx="7">
                  <c:v>1895822.267</c:v>
                </c:pt>
                <c:pt idx="8">
                  <c:v>2056497.4280000001</c:v>
                </c:pt>
                <c:pt idx="9">
                  <c:v>1558097.7080000001</c:v>
                </c:pt>
                <c:pt idx="10">
                  <c:v>1449634.193</c:v>
                </c:pt>
                <c:pt idx="11">
                  <c:v>1970734.298</c:v>
                </c:pt>
                <c:pt idx="12">
                  <c:v>2691294.7560000001</c:v>
                </c:pt>
                <c:pt idx="13">
                  <c:v>2261304.7239999999</c:v>
                </c:pt>
                <c:pt idx="14">
                  <c:v>1966827.0109999999</c:v>
                </c:pt>
                <c:pt idx="16">
                  <c:v>67623.437999999995</c:v>
                </c:pt>
              </c:numCache>
            </c:numRef>
          </c:val>
          <c:extLst>
            <c:ext xmlns:c16="http://schemas.microsoft.com/office/drawing/2014/chart" uri="{C3380CC4-5D6E-409C-BE32-E72D297353CC}">
              <c16:uniqueId val="{00000001-9B1F-4825-8B08-722589E01DD6}"/>
            </c:ext>
          </c:extLst>
        </c:ser>
        <c:ser>
          <c:idx val="2"/>
          <c:order val="2"/>
          <c:tx>
            <c:strRef>
              <c:f>Exports!$A$4</c:f>
              <c:strCache>
                <c:ptCount val="1"/>
                <c:pt idx="0">
                  <c:v>287 Other ores &amp; concentrates</c:v>
                </c:pt>
              </c:strCache>
            </c:strRef>
          </c:tx>
          <c:spPr>
            <a:solidFill>
              <a:schemeClr val="accent3"/>
            </a:solidFill>
            <a:ln>
              <a:noFill/>
            </a:ln>
            <a:effectLst/>
          </c:spPr>
          <c:invertIfNegative val="0"/>
          <c:cat>
            <c:strRef>
              <c:f>Exports!$B$1:$R$1</c:f>
              <c:strCache>
                <c:ptCount val="17"/>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strCache>
            </c:strRef>
          </c:cat>
          <c:val>
            <c:numRef>
              <c:f>Exports!$B$4:$R$4</c:f>
              <c:numCache>
                <c:formatCode>_(* #,##0.00_);_(* \(#,##0.00\);_(* "-"??_);_(@_)</c:formatCode>
                <c:ptCount val="17"/>
                <c:pt idx="0">
                  <c:v>814537.62699999998</c:v>
                </c:pt>
                <c:pt idx="1">
                  <c:v>1343317.577</c:v>
                </c:pt>
                <c:pt idx="2">
                  <c:v>1517144.0959999999</c:v>
                </c:pt>
                <c:pt idx="3">
                  <c:v>1340539.5</c:v>
                </c:pt>
                <c:pt idx="4">
                  <c:v>2092424.34</c:v>
                </c:pt>
                <c:pt idx="5">
                  <c:v>1844979.48</c:v>
                </c:pt>
                <c:pt idx="6">
                  <c:v>1549454.371</c:v>
                </c:pt>
                <c:pt idx="7">
                  <c:v>2006609.673</c:v>
                </c:pt>
                <c:pt idx="8">
                  <c:v>2074402.7590000001</c:v>
                </c:pt>
                <c:pt idx="9">
                  <c:v>1323077.5090000001</c:v>
                </c:pt>
                <c:pt idx="10">
                  <c:v>635312.30099999998</c:v>
                </c:pt>
                <c:pt idx="11">
                  <c:v>878859.32400000002</c:v>
                </c:pt>
                <c:pt idx="12">
                  <c:v>1487904.933</c:v>
                </c:pt>
                <c:pt idx="13">
                  <c:v>1997131.1610000001</c:v>
                </c:pt>
                <c:pt idx="14">
                  <c:v>1624877.638</c:v>
                </c:pt>
                <c:pt idx="15">
                  <c:v>1834393.6629999999</c:v>
                </c:pt>
                <c:pt idx="16">
                  <c:v>2314517.031</c:v>
                </c:pt>
              </c:numCache>
            </c:numRef>
          </c:val>
          <c:extLst>
            <c:ext xmlns:c16="http://schemas.microsoft.com/office/drawing/2014/chart" uri="{C3380CC4-5D6E-409C-BE32-E72D297353CC}">
              <c16:uniqueId val="{00000002-9B1F-4825-8B08-722589E01DD6}"/>
            </c:ext>
          </c:extLst>
        </c:ser>
        <c:ser>
          <c:idx val="3"/>
          <c:order val="3"/>
          <c:tx>
            <c:strRef>
              <c:f>Exports!$A$5</c:f>
              <c:strCache>
                <c:ptCount val="1"/>
                <c:pt idx="0">
                  <c:v>321 Coal</c:v>
                </c:pt>
              </c:strCache>
            </c:strRef>
          </c:tx>
          <c:spPr>
            <a:solidFill>
              <a:schemeClr val="accent4"/>
            </a:solidFill>
            <a:ln>
              <a:noFill/>
            </a:ln>
            <a:effectLst/>
          </c:spPr>
          <c:invertIfNegative val="0"/>
          <c:cat>
            <c:strRef>
              <c:f>Exports!$B$1:$R$1</c:f>
              <c:strCache>
                <c:ptCount val="17"/>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strCache>
            </c:strRef>
          </c:cat>
          <c:val>
            <c:numRef>
              <c:f>Exports!$B$5:$R$5</c:f>
              <c:numCache>
                <c:formatCode>_(* #,##0.00_);_(* \(#,##0.00\);_(* "-"??_);_(@_)</c:formatCode>
                <c:ptCount val="17"/>
                <c:pt idx="0">
                  <c:v>598837.54599999997</c:v>
                </c:pt>
                <c:pt idx="1">
                  <c:v>382235.75400000002</c:v>
                </c:pt>
                <c:pt idx="2">
                  <c:v>508278.9</c:v>
                </c:pt>
                <c:pt idx="3">
                  <c:v>5650977.8909999998</c:v>
                </c:pt>
                <c:pt idx="4">
                  <c:v>5191343.9409999996</c:v>
                </c:pt>
                <c:pt idx="5">
                  <c:v>4543053.2259999998</c:v>
                </c:pt>
                <c:pt idx="6">
                  <c:v>6783343.6529999999</c:v>
                </c:pt>
                <c:pt idx="7">
                  <c:v>9082128.8440000005</c:v>
                </c:pt>
                <c:pt idx="8">
                  <c:v>8325548.3839999996</c:v>
                </c:pt>
                <c:pt idx="9">
                  <c:v>6105336.7939999998</c:v>
                </c:pt>
                <c:pt idx="10">
                  <c:v>8393423.1469999999</c:v>
                </c:pt>
                <c:pt idx="11">
                  <c:v>11792087.989</c:v>
                </c:pt>
                <c:pt idx="12">
                  <c:v>14311530.863</c:v>
                </c:pt>
                <c:pt idx="13">
                  <c:v>13706265.378</c:v>
                </c:pt>
                <c:pt idx="14">
                  <c:v>8933629.5370000005</c:v>
                </c:pt>
                <c:pt idx="15">
                  <c:v>24781.348000000002</c:v>
                </c:pt>
              </c:numCache>
            </c:numRef>
          </c:val>
          <c:extLst>
            <c:ext xmlns:c16="http://schemas.microsoft.com/office/drawing/2014/chart" uri="{C3380CC4-5D6E-409C-BE32-E72D297353CC}">
              <c16:uniqueId val="{00000003-9B1F-4825-8B08-722589E01DD6}"/>
            </c:ext>
          </c:extLst>
        </c:ser>
        <c:ser>
          <c:idx val="4"/>
          <c:order val="4"/>
          <c:tx>
            <c:strRef>
              <c:f>Exports!$A$6</c:f>
              <c:strCache>
                <c:ptCount val="1"/>
                <c:pt idx="0">
                  <c:v>343 Natural gas</c:v>
                </c:pt>
              </c:strCache>
            </c:strRef>
          </c:tx>
          <c:spPr>
            <a:solidFill>
              <a:schemeClr val="accent5"/>
            </a:solidFill>
            <a:ln>
              <a:noFill/>
            </a:ln>
            <a:effectLst/>
          </c:spPr>
          <c:invertIfNegative val="0"/>
          <c:cat>
            <c:strRef>
              <c:f>Exports!$B$1:$R$1</c:f>
              <c:strCache>
                <c:ptCount val="17"/>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strCache>
            </c:strRef>
          </c:cat>
          <c:val>
            <c:numRef>
              <c:f>Exports!$B$6:$R$6</c:f>
              <c:numCache>
                <c:formatCode>_(* #,##0.00_);_(* \(#,##0.00\);_(* "-"??_);_(@_)</c:formatCode>
                <c:ptCount val="17"/>
                <c:pt idx="0">
                  <c:v>125000</c:v>
                </c:pt>
                <c:pt idx="1">
                  <c:v>390000</c:v>
                </c:pt>
                <c:pt idx="2">
                  <c:v>471000</c:v>
                </c:pt>
                <c:pt idx="3">
                  <c:v>538000</c:v>
                </c:pt>
                <c:pt idx="4">
                  <c:v>603000</c:v>
                </c:pt>
                <c:pt idx="5">
                  <c:v>497000</c:v>
                </c:pt>
                <c:pt idx="6">
                  <c:v>493000</c:v>
                </c:pt>
                <c:pt idx="7">
                  <c:v>567000</c:v>
                </c:pt>
                <c:pt idx="8">
                  <c:v>694000</c:v>
                </c:pt>
                <c:pt idx="9">
                  <c:v>2158000</c:v>
                </c:pt>
                <c:pt idx="10">
                  <c:v>4283000</c:v>
                </c:pt>
                <c:pt idx="11">
                  <c:v>6851000</c:v>
                </c:pt>
                <c:pt idx="12">
                  <c:v>13646000</c:v>
                </c:pt>
                <c:pt idx="13">
                  <c:v>16147000</c:v>
                </c:pt>
                <c:pt idx="14">
                  <c:v>12194000</c:v>
                </c:pt>
                <c:pt idx="15">
                  <c:v>17593000</c:v>
                </c:pt>
                <c:pt idx="16">
                  <c:v>18600000</c:v>
                </c:pt>
              </c:numCache>
            </c:numRef>
          </c:val>
          <c:extLst>
            <c:ext xmlns:c16="http://schemas.microsoft.com/office/drawing/2014/chart" uri="{C3380CC4-5D6E-409C-BE32-E72D297353CC}">
              <c16:uniqueId val="{00000004-9B1F-4825-8B08-722589E01DD6}"/>
            </c:ext>
          </c:extLst>
        </c:ser>
        <c:dLbls>
          <c:showLegendKey val="0"/>
          <c:showVal val="0"/>
          <c:showCatName val="0"/>
          <c:showSerName val="0"/>
          <c:showPercent val="0"/>
          <c:showBubbleSize val="0"/>
        </c:dLbls>
        <c:gapWidth val="219"/>
        <c:overlap val="-27"/>
        <c:axId val="1519379695"/>
        <c:axId val="1519376815"/>
      </c:barChart>
      <c:catAx>
        <c:axId val="15193796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376815"/>
        <c:crosses val="autoZero"/>
        <c:auto val="1"/>
        <c:lblAlgn val="ctr"/>
        <c:lblOffset val="100"/>
        <c:noMultiLvlLbl val="0"/>
      </c:catAx>
      <c:valAx>
        <c:axId val="1519376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(A$'000)</a:t>
                </a:r>
              </a:p>
            </c:rich>
          </c:tx>
          <c:layout>
            <c:manualLayout>
              <c:xMode val="edge"/>
              <c:yMode val="edge"/>
              <c:x val="1.2012980530739681E-3"/>
              <c:y val="0.3114423315951995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379695"/>
        <c:crosses val="autoZero"/>
        <c:crossBetween val="between"/>
        <c:dispUnits>
          <c:builtInUnit val="millions"/>
          <c:dispUnitsLbl>
            <c:layout>
              <c:manualLayout>
                <c:xMode val="edge"/>
                <c:yMode val="edge"/>
                <c:x val="9.7939901701224507E-4"/>
                <c:y val="0.13535061569547766"/>
              </c:manualLayout>
            </c:layout>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t>Millions</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layout>
        <c:manualLayout>
          <c:xMode val="edge"/>
          <c:yMode val="edge"/>
          <c:x val="0.10389899988418166"/>
          <c:y val="0.86862203214241485"/>
          <c:w val="0.82120552208786213"/>
          <c:h val="0.123706314616311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Top 5 Australia's minerals and fuels imported from China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4720539740224782E-2"/>
          <c:y val="0.14865731462925852"/>
          <c:w val="0.90673245171276662"/>
          <c:h val="0.56383317816735834"/>
        </c:manualLayout>
      </c:layout>
      <c:barChart>
        <c:barDir val="col"/>
        <c:grouping val="clustered"/>
        <c:varyColors val="0"/>
        <c:ser>
          <c:idx val="0"/>
          <c:order val="0"/>
          <c:tx>
            <c:strRef>
              <c:f>Imports!$A$2</c:f>
              <c:strCache>
                <c:ptCount val="1"/>
                <c:pt idx="0">
                  <c:v>278 Crude minerals, nes</c:v>
                </c:pt>
              </c:strCache>
            </c:strRef>
          </c:tx>
          <c:spPr>
            <a:solidFill>
              <a:schemeClr val="accent6"/>
            </a:solidFill>
            <a:ln>
              <a:noFill/>
            </a:ln>
            <a:effectLst/>
          </c:spPr>
          <c:invertIfNegative val="0"/>
          <c:cat>
            <c:strRef>
              <c:f>Imports!$B$1:$R$1</c:f>
              <c:strCache>
                <c:ptCount val="17"/>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strCache>
            </c:strRef>
          </c:cat>
          <c:val>
            <c:numRef>
              <c:f>Imports!$B$2:$R$2</c:f>
              <c:numCache>
                <c:formatCode>General</c:formatCode>
                <c:ptCount val="17"/>
                <c:pt idx="0">
                  <c:v>11178.871999999999</c:v>
                </c:pt>
                <c:pt idx="1">
                  <c:v>12895.718000000001</c:v>
                </c:pt>
                <c:pt idx="2">
                  <c:v>21757.307000000001</c:v>
                </c:pt>
                <c:pt idx="3">
                  <c:v>15246.188</c:v>
                </c:pt>
                <c:pt idx="4">
                  <c:v>17036.850999999999</c:v>
                </c:pt>
                <c:pt idx="5">
                  <c:v>16832.471000000001</c:v>
                </c:pt>
                <c:pt idx="6">
                  <c:v>21517.044999999998</c:v>
                </c:pt>
                <c:pt idx="7">
                  <c:v>22480.788</c:v>
                </c:pt>
                <c:pt idx="8">
                  <c:v>21342.646000000001</c:v>
                </c:pt>
                <c:pt idx="9">
                  <c:v>23716.45</c:v>
                </c:pt>
                <c:pt idx="10">
                  <c:v>24559.503000000001</c:v>
                </c:pt>
                <c:pt idx="11">
                  <c:v>22064.922999999999</c:v>
                </c:pt>
                <c:pt idx="12">
                  <c:v>30694.027999999998</c:v>
                </c:pt>
                <c:pt idx="13">
                  <c:v>27844.226999999999</c:v>
                </c:pt>
                <c:pt idx="14">
                  <c:v>28787.526000000002</c:v>
                </c:pt>
                <c:pt idx="15">
                  <c:v>29239.868999999999</c:v>
                </c:pt>
                <c:pt idx="16">
                  <c:v>67963.251000000004</c:v>
                </c:pt>
              </c:numCache>
            </c:numRef>
          </c:val>
          <c:extLst>
            <c:ext xmlns:c16="http://schemas.microsoft.com/office/drawing/2014/chart" uri="{C3380CC4-5D6E-409C-BE32-E72D297353CC}">
              <c16:uniqueId val="{00000000-9136-402D-B088-BF8EAA95C000}"/>
            </c:ext>
          </c:extLst>
        </c:ser>
        <c:ser>
          <c:idx val="1"/>
          <c:order val="1"/>
          <c:tx>
            <c:strRef>
              <c:f>Imports!$A$3</c:f>
              <c:strCache>
                <c:ptCount val="1"/>
                <c:pt idx="0">
                  <c:v>325 Coke &amp; semi-coke</c:v>
                </c:pt>
              </c:strCache>
            </c:strRef>
          </c:tx>
          <c:spPr>
            <a:solidFill>
              <a:schemeClr val="accent5"/>
            </a:solidFill>
            <a:ln>
              <a:noFill/>
            </a:ln>
            <a:effectLst/>
          </c:spPr>
          <c:invertIfNegative val="0"/>
          <c:cat>
            <c:strRef>
              <c:f>Imports!$B$1:$R$1</c:f>
              <c:strCache>
                <c:ptCount val="17"/>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strCache>
            </c:strRef>
          </c:cat>
          <c:val>
            <c:numRef>
              <c:f>Imports!$B$3:$R$3</c:f>
              <c:numCache>
                <c:formatCode>General</c:formatCode>
                <c:ptCount val="17"/>
                <c:pt idx="0">
                  <c:v>848.82799999999997</c:v>
                </c:pt>
                <c:pt idx="1">
                  <c:v>216.28299999999999</c:v>
                </c:pt>
                <c:pt idx="3">
                  <c:v>2641.8670000000002</c:v>
                </c:pt>
                <c:pt idx="4">
                  <c:v>14567.878000000001</c:v>
                </c:pt>
                <c:pt idx="5">
                  <c:v>20563.810000000001</c:v>
                </c:pt>
                <c:pt idx="6">
                  <c:v>2997.7339999999999</c:v>
                </c:pt>
                <c:pt idx="7">
                  <c:v>13628.253000000001</c:v>
                </c:pt>
                <c:pt idx="8">
                  <c:v>25454.01</c:v>
                </c:pt>
                <c:pt idx="9">
                  <c:v>36454.93</c:v>
                </c:pt>
                <c:pt idx="10">
                  <c:v>24505.968000000001</c:v>
                </c:pt>
                <c:pt idx="11">
                  <c:v>66870.759999999995</c:v>
                </c:pt>
                <c:pt idx="12">
                  <c:v>111848.73</c:v>
                </c:pt>
                <c:pt idx="13">
                  <c:v>83919.508000000002</c:v>
                </c:pt>
                <c:pt idx="14">
                  <c:v>56182.23</c:v>
                </c:pt>
                <c:pt idx="15">
                  <c:v>66047.141000000003</c:v>
                </c:pt>
                <c:pt idx="16">
                  <c:v>129675.94899999999</c:v>
                </c:pt>
              </c:numCache>
            </c:numRef>
          </c:val>
          <c:extLst>
            <c:ext xmlns:c16="http://schemas.microsoft.com/office/drawing/2014/chart" uri="{C3380CC4-5D6E-409C-BE32-E72D297353CC}">
              <c16:uniqueId val="{00000001-9136-402D-B088-BF8EAA95C000}"/>
            </c:ext>
          </c:extLst>
        </c:ser>
        <c:ser>
          <c:idx val="2"/>
          <c:order val="2"/>
          <c:tx>
            <c:strRef>
              <c:f>Imports!$A$4</c:f>
              <c:strCache>
                <c:ptCount val="1"/>
                <c:pt idx="0">
                  <c:v>333 Crude petroleum</c:v>
                </c:pt>
              </c:strCache>
            </c:strRef>
          </c:tx>
          <c:spPr>
            <a:solidFill>
              <a:schemeClr val="accent4"/>
            </a:solidFill>
            <a:ln>
              <a:noFill/>
            </a:ln>
            <a:effectLst/>
          </c:spPr>
          <c:invertIfNegative val="0"/>
          <c:cat>
            <c:strRef>
              <c:f>Imports!$B$1:$R$1</c:f>
              <c:strCache>
                <c:ptCount val="17"/>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strCache>
            </c:strRef>
          </c:cat>
          <c:val>
            <c:numRef>
              <c:f>Imports!$B$4:$R$4</c:f>
              <c:numCache>
                <c:formatCode>General</c:formatCode>
                <c:ptCount val="17"/>
                <c:pt idx="0">
                  <c:v>204007.777</c:v>
                </c:pt>
                <c:pt idx="3">
                  <c:v>49715.347999999998</c:v>
                </c:pt>
                <c:pt idx="4">
                  <c:v>39252.343999999997</c:v>
                </c:pt>
                <c:pt idx="5">
                  <c:v>36381.432000000001</c:v>
                </c:pt>
              </c:numCache>
            </c:numRef>
          </c:val>
          <c:extLst>
            <c:ext xmlns:c16="http://schemas.microsoft.com/office/drawing/2014/chart" uri="{C3380CC4-5D6E-409C-BE32-E72D297353CC}">
              <c16:uniqueId val="{00000002-9136-402D-B088-BF8EAA95C000}"/>
            </c:ext>
          </c:extLst>
        </c:ser>
        <c:ser>
          <c:idx val="3"/>
          <c:order val="3"/>
          <c:tx>
            <c:strRef>
              <c:f>Imports!$A$5</c:f>
              <c:strCache>
                <c:ptCount val="1"/>
                <c:pt idx="0">
                  <c:v>334 Refined petroleum</c:v>
                </c:pt>
              </c:strCache>
            </c:strRef>
          </c:tx>
          <c:spPr>
            <a:solidFill>
              <a:schemeClr val="accent6">
                <a:lumMod val="60000"/>
              </a:schemeClr>
            </a:solidFill>
            <a:ln>
              <a:noFill/>
            </a:ln>
            <a:effectLst/>
          </c:spPr>
          <c:invertIfNegative val="0"/>
          <c:cat>
            <c:strRef>
              <c:f>Imports!$B$1:$R$1</c:f>
              <c:strCache>
                <c:ptCount val="17"/>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strCache>
            </c:strRef>
          </c:cat>
          <c:val>
            <c:numRef>
              <c:f>Imports!$B$5:$R$5</c:f>
              <c:numCache>
                <c:formatCode>General</c:formatCode>
                <c:ptCount val="17"/>
                <c:pt idx="0">
                  <c:v>9167.0400000000009</c:v>
                </c:pt>
                <c:pt idx="1">
                  <c:v>10013.271000000001</c:v>
                </c:pt>
                <c:pt idx="2">
                  <c:v>7894.2910000000002</c:v>
                </c:pt>
                <c:pt idx="3">
                  <c:v>46930.101000000002</c:v>
                </c:pt>
                <c:pt idx="4">
                  <c:v>36929.315000000002</c:v>
                </c:pt>
                <c:pt idx="5">
                  <c:v>12020.633</c:v>
                </c:pt>
                <c:pt idx="6">
                  <c:v>16898.169000000002</c:v>
                </c:pt>
                <c:pt idx="7">
                  <c:v>25031.216</c:v>
                </c:pt>
                <c:pt idx="8">
                  <c:v>456790.73200000002</c:v>
                </c:pt>
                <c:pt idx="9">
                  <c:v>895309.201</c:v>
                </c:pt>
                <c:pt idx="10">
                  <c:v>1196386.754</c:v>
                </c:pt>
                <c:pt idx="11">
                  <c:v>1137451.581</c:v>
                </c:pt>
                <c:pt idx="12">
                  <c:v>2058278.96</c:v>
                </c:pt>
                <c:pt idx="13">
                  <c:v>3465494.355</c:v>
                </c:pt>
                <c:pt idx="14">
                  <c:v>2080018.21</c:v>
                </c:pt>
                <c:pt idx="15">
                  <c:v>1571768.148</c:v>
                </c:pt>
                <c:pt idx="16">
                  <c:v>2216606.2719999999</c:v>
                </c:pt>
              </c:numCache>
            </c:numRef>
          </c:val>
          <c:extLst>
            <c:ext xmlns:c16="http://schemas.microsoft.com/office/drawing/2014/chart" uri="{C3380CC4-5D6E-409C-BE32-E72D297353CC}">
              <c16:uniqueId val="{00000003-9136-402D-B088-BF8EAA95C000}"/>
            </c:ext>
          </c:extLst>
        </c:ser>
        <c:ser>
          <c:idx val="4"/>
          <c:order val="4"/>
          <c:tx>
            <c:strRef>
              <c:f>Imports!$A$6</c:f>
              <c:strCache>
                <c:ptCount val="1"/>
                <c:pt idx="0">
                  <c:v>335 Residual petroleum products, nes</c:v>
                </c:pt>
              </c:strCache>
            </c:strRef>
          </c:tx>
          <c:spPr>
            <a:solidFill>
              <a:schemeClr val="accent5">
                <a:lumMod val="60000"/>
              </a:schemeClr>
            </a:solidFill>
            <a:ln>
              <a:noFill/>
            </a:ln>
            <a:effectLst/>
          </c:spPr>
          <c:invertIfNegative val="0"/>
          <c:cat>
            <c:strRef>
              <c:f>Imports!$B$1:$R$1</c:f>
              <c:strCache>
                <c:ptCount val="17"/>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strCache>
            </c:strRef>
          </c:cat>
          <c:val>
            <c:numRef>
              <c:f>Imports!$B$6:$R$6</c:f>
              <c:numCache>
                <c:formatCode>General</c:formatCode>
                <c:ptCount val="17"/>
                <c:pt idx="0">
                  <c:v>33772.641000000003</c:v>
                </c:pt>
                <c:pt idx="1">
                  <c:v>49394.182999999997</c:v>
                </c:pt>
                <c:pt idx="2">
                  <c:v>124066.595</c:v>
                </c:pt>
                <c:pt idx="3">
                  <c:v>79533.823000000004</c:v>
                </c:pt>
                <c:pt idx="4">
                  <c:v>68099.432000000001</c:v>
                </c:pt>
                <c:pt idx="5">
                  <c:v>102860.432</c:v>
                </c:pt>
                <c:pt idx="6">
                  <c:v>98589.107000000004</c:v>
                </c:pt>
                <c:pt idx="7">
                  <c:v>88624.707999999999</c:v>
                </c:pt>
                <c:pt idx="8">
                  <c:v>63700.92</c:v>
                </c:pt>
                <c:pt idx="9">
                  <c:v>113838.38</c:v>
                </c:pt>
                <c:pt idx="10">
                  <c:v>92383.19</c:v>
                </c:pt>
                <c:pt idx="11">
                  <c:v>183926.22700000001</c:v>
                </c:pt>
                <c:pt idx="12">
                  <c:v>170215.23199999999</c:v>
                </c:pt>
                <c:pt idx="13">
                  <c:v>174235.576</c:v>
                </c:pt>
                <c:pt idx="14">
                  <c:v>190469.33799999999</c:v>
                </c:pt>
                <c:pt idx="15">
                  <c:v>264079.12699999998</c:v>
                </c:pt>
                <c:pt idx="16">
                  <c:v>418433.60600000003</c:v>
                </c:pt>
              </c:numCache>
            </c:numRef>
          </c:val>
          <c:extLst>
            <c:ext xmlns:c16="http://schemas.microsoft.com/office/drawing/2014/chart" uri="{C3380CC4-5D6E-409C-BE32-E72D297353CC}">
              <c16:uniqueId val="{00000004-9136-402D-B088-BF8EAA95C000}"/>
            </c:ext>
          </c:extLst>
        </c:ser>
        <c:dLbls>
          <c:showLegendKey val="0"/>
          <c:showVal val="0"/>
          <c:showCatName val="0"/>
          <c:showSerName val="0"/>
          <c:showPercent val="0"/>
          <c:showBubbleSize val="0"/>
        </c:dLbls>
        <c:gapWidth val="219"/>
        <c:overlap val="-27"/>
        <c:axId val="658245247"/>
        <c:axId val="658244767"/>
      </c:barChart>
      <c:catAx>
        <c:axId val="6582452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a:p>
                <a:pPr>
                  <a:defRPr/>
                </a:pPr>
                <a:endParaRPr lang="en-US"/>
              </a:p>
            </c:rich>
          </c:tx>
          <c:layout>
            <c:manualLayout>
              <c:xMode val="edge"/>
              <c:yMode val="edge"/>
              <c:x val="0.50162847432532476"/>
              <c:y val="0.765389361399965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244767"/>
        <c:crosses val="autoZero"/>
        <c:auto val="1"/>
        <c:lblAlgn val="ctr"/>
        <c:lblOffset val="100"/>
        <c:noMultiLvlLbl val="0"/>
      </c:catAx>
      <c:valAx>
        <c:axId val="658244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Value (A$'000)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245247"/>
        <c:crosses val="autoZero"/>
        <c:crossBetween val="between"/>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layout>
        <c:manualLayout>
          <c:xMode val="edge"/>
          <c:yMode val="edge"/>
          <c:x val="0.10973419332047217"/>
          <c:y val="0.87425957849943314"/>
          <c:w val="0.79805688721086521"/>
          <c:h val="0.106016555622854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4557</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Trần</dc:creator>
  <cp:keywords/>
  <dc:description/>
  <cp:lastModifiedBy>Chi Trần</cp:lastModifiedBy>
  <cp:revision>34</cp:revision>
  <dcterms:created xsi:type="dcterms:W3CDTF">2023-05-29T13:33:00Z</dcterms:created>
  <dcterms:modified xsi:type="dcterms:W3CDTF">2023-06-04T14:25:00Z</dcterms:modified>
</cp:coreProperties>
</file>