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1b. Policy plus live record — expect FULL</w:t>
        <w:br/>
        <w:br/>
        <w:t>Meridian AI Acceptable Use Policy v2.1, section 4.3 (approved by the AI Risk Committee, 14 March 2026): "All AI agents must be registered in the enterprise AI inventory and assigned a unique agent identifier before deployment to any production environment."</w:t>
        <w:br/>
        <w:br/>
        <w:t>Extract from AI Inventory (ServiceNow CMDB, exported 28 August 2026):</w:t>
        <w:br/>
        <w:t>AGT-0142 | Trade reconciliation assistant | Owner: J. Tan (Operations) | Registered: 12 June 2026 | Status: Active | Service principal: sp-agt-0142 | Materiality: Medium | Last attestation: 30 July 2026</w:t>
        <w:br/>
        <w:t>AGT-0157 | Client onboarding document classifier | Owner: R. Menon (Compliance Ops) | Registered: 3 August 2026 | Status: Active | Service principal: sp-agt-0157 | Materiality: High | Last attestation: 3 August 2026</w:t>
        <w:br/>
        <w:br/>
        <w:t>Pre-production gate checklist PPG-2026-091 for AGT-0157, signed off by Technology Risk (S. Lim) on 2 August 2026, item 4: "Agent registered in AI inventory with unique ID — confirmed."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