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w:t>
            </w:r>
            <w:r>
              <w:rPr>
                <w:rFonts w:hint="default" w:ascii="Arial" w:hAnsi="Arial"/>
                <w:sz w:val="24"/>
                <w:szCs w:val="24"/>
                <w:lang w:val="en-US"/>
              </w:rPr>
              <w:t>Genap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Arial" w:hAnsi="Arial" w:cs="Arial"/>
                <w:vertAlign w:val="baseline"/>
              </w:rPr>
            </w:pPr>
            <w:r>
              <w:rPr>
                <w:rFonts w:hint="default" w:ascii="Arial" w:hAnsi="Arial" w:cs="Arial"/>
                <w:b/>
                <w:sz w:val="24"/>
                <w:szCs w:val="24"/>
                <w:lang w:val="en-US"/>
              </w:rPr>
              <w:t>Al-Qur’an dan Hadis adalah Pedoman Hidupku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3</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1.8 </w:t>
      </w:r>
      <w:r>
        <w:rPr>
          <w:rFonts w:hint="default" w:ascii="Arial" w:hAnsi="Arial"/>
          <w:sz w:val="24"/>
          <w:szCs w:val="24"/>
          <w:lang w:val="en-US"/>
        </w:rPr>
        <w:tab/>
      </w:r>
      <w:r>
        <w:rPr>
          <w:rFonts w:hint="default" w:ascii="Arial" w:hAnsi="Arial"/>
          <w:sz w:val="24"/>
          <w:szCs w:val="24"/>
          <w:lang w:val="en-US"/>
        </w:rPr>
        <w:t xml:space="preserve">Meyakini al-Qur’an, Hadis dan ijtihad sebagai sumber hukum Islam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2.8 </w:t>
      </w:r>
      <w:r>
        <w:rPr>
          <w:rFonts w:hint="default" w:ascii="Arial" w:hAnsi="Arial" w:cs="Arial"/>
          <w:sz w:val="24"/>
          <w:szCs w:val="24"/>
          <w:lang w:val="en-US"/>
        </w:rPr>
        <w:tab/>
      </w:r>
      <w:r>
        <w:rPr>
          <w:rFonts w:hint="default" w:ascii="Arial" w:hAnsi="Arial"/>
          <w:sz w:val="24"/>
          <w:szCs w:val="24"/>
          <w:lang w:val="en-US"/>
        </w:rPr>
        <w:t xml:space="preserve">Menunjukkan perilaku ikhlas dan taat beribadah sebagai implemantasi pemahaman terhadap kedudukan al-Qur’an, Hadis, dan ijtihad sebagai sumber hukum Islam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3.8 </w:t>
      </w:r>
      <w:r>
        <w:rPr>
          <w:rFonts w:hint="default" w:ascii="Arial" w:hAnsi="Arial" w:cs="Arial"/>
          <w:sz w:val="24"/>
          <w:szCs w:val="24"/>
          <w:lang w:val="en-US"/>
        </w:rPr>
        <w:tab/>
      </w:r>
      <w:r>
        <w:rPr>
          <w:rFonts w:hint="default" w:ascii="Arial" w:hAnsi="Arial"/>
          <w:sz w:val="24"/>
          <w:szCs w:val="24"/>
          <w:lang w:val="en-US"/>
        </w:rPr>
        <w:t xml:space="preserve">Menganalisis kedudukan al-Qur’an, Hadis, dan ijtihad sebagai sumber hukum Islam. </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4.8 </w:t>
      </w:r>
      <w:r>
        <w:rPr>
          <w:rFonts w:hint="default" w:ascii="Arial" w:hAnsi="Arial"/>
          <w:sz w:val="24"/>
          <w:szCs w:val="24"/>
          <w:lang w:val="en-US"/>
        </w:rPr>
        <w:tab/>
      </w:r>
      <w:r>
        <w:rPr>
          <w:rFonts w:hint="default" w:ascii="Arial" w:hAnsi="Arial"/>
          <w:sz w:val="24"/>
          <w:szCs w:val="24"/>
          <w:lang w:val="en-US"/>
        </w:rPr>
        <w:t xml:space="preserve">Mendeskripsikan macam-macam sumber hukum Islam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1.8.1  </w:t>
      </w:r>
      <w:r>
        <w:rPr>
          <w:rFonts w:hint="default" w:ascii="Arial" w:hAnsi="Arial" w:cs="Arial"/>
          <w:sz w:val="24"/>
          <w:szCs w:val="24"/>
          <w:lang w:val="en-US"/>
        </w:rPr>
        <w:tab/>
      </w:r>
      <w:r>
        <w:rPr>
          <w:rFonts w:hint="default" w:ascii="Arial" w:hAnsi="Arial"/>
          <w:sz w:val="24"/>
          <w:szCs w:val="24"/>
          <w:lang w:val="en-US"/>
        </w:rPr>
        <w:t xml:space="preserve">Meyakini al-Qur’an, Hadis dan ijtihad sebagai sumber hukum Islam </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2.8.1 </w:t>
      </w:r>
      <w:r>
        <w:rPr>
          <w:rFonts w:hint="default" w:ascii="Arial" w:hAnsi="Arial"/>
          <w:sz w:val="24"/>
          <w:szCs w:val="24"/>
          <w:lang w:val="en-US"/>
        </w:rPr>
        <w:tab/>
      </w:r>
      <w:r>
        <w:rPr>
          <w:rFonts w:hint="default" w:ascii="Arial" w:hAnsi="Arial"/>
          <w:sz w:val="24"/>
          <w:szCs w:val="24"/>
          <w:lang w:val="en-US"/>
        </w:rPr>
        <w:t xml:space="preserve">Menunjukkan perilaku ikhlas dan taat beribadah sebagai implemantasi pemahaman terhadap kedudukan al-Qur’an, Hadis, dan ijtihad sebagai sumber hukum Islam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3.8.1 </w:t>
      </w:r>
      <w:r>
        <w:rPr>
          <w:rFonts w:hint="default" w:ascii="Arial" w:hAnsi="Arial" w:cs="Arial"/>
          <w:sz w:val="24"/>
          <w:szCs w:val="24"/>
          <w:lang w:val="en-US"/>
        </w:rPr>
        <w:tab/>
      </w:r>
      <w:r>
        <w:rPr>
          <w:rFonts w:hint="default" w:ascii="Arial" w:hAnsi="Arial"/>
          <w:sz w:val="24"/>
          <w:szCs w:val="24"/>
          <w:lang w:val="en-US"/>
        </w:rPr>
        <w:t>Memahami Q.S. al-Isrā’/17:9 dan Q.S. an- Nisā/4:59, 105 tentang al-Qur’ān, hadis dan ijtihād sebagai sumber hukum Islam, dengan menggunakan ICT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3.8.2</w:t>
      </w:r>
      <w:r>
        <w:rPr>
          <w:rFonts w:hint="default" w:ascii="Arial" w:hAnsi="Arial"/>
          <w:sz w:val="24"/>
          <w:szCs w:val="24"/>
          <w:lang w:val="en-US"/>
        </w:rPr>
        <w:tab/>
      </w:r>
      <w:r>
        <w:rPr>
          <w:rFonts w:hint="default" w:ascii="Arial" w:hAnsi="Arial"/>
          <w:sz w:val="24"/>
          <w:szCs w:val="24"/>
          <w:lang w:val="en-US"/>
        </w:rPr>
        <w:t xml:space="preserve">Menganalisis kedudukan al-Qur’an, Hadis, dan ijtihad sebagai sumber hukum Islam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3.8.3</w:t>
      </w:r>
      <w:r>
        <w:rPr>
          <w:rFonts w:hint="default" w:ascii="Arial" w:hAnsi="Arial"/>
          <w:sz w:val="24"/>
          <w:szCs w:val="24"/>
          <w:lang w:val="en-US"/>
        </w:rPr>
        <w:tab/>
      </w:r>
      <w:r>
        <w:rPr>
          <w:rFonts w:hint="default" w:ascii="Arial" w:hAnsi="Arial"/>
          <w:sz w:val="24"/>
          <w:szCs w:val="24"/>
          <w:lang w:val="en-US"/>
        </w:rPr>
        <w:t>Menjelaskan makna isi al-Qur’ān, hadis dan ijtihād sebagai sumber hukum Islam dengan menggunakan ICT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4.8.1</w:t>
      </w:r>
      <w:r>
        <w:rPr>
          <w:rFonts w:hint="default" w:ascii="Arial" w:hAnsi="Arial" w:cs="Arial"/>
          <w:sz w:val="24"/>
          <w:szCs w:val="24"/>
          <w:lang w:val="en-US"/>
        </w:rPr>
        <w:tab/>
      </w:r>
      <w:r>
        <w:rPr>
          <w:rFonts w:hint="default" w:ascii="Arial" w:hAnsi="Arial"/>
          <w:sz w:val="24"/>
          <w:szCs w:val="24"/>
          <w:lang w:val="en-US"/>
        </w:rPr>
        <w:t xml:space="preserve">Mendeskripsikan macam-macam sumber hukum Islam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Discovery Learning</w:t>
            </w:r>
            <w:r>
              <w:rPr>
                <w:rFonts w:hint="default" w:ascii="Arial" w:hAnsi="Arial"/>
                <w:color w:val="000000" w:themeColor="text1"/>
                <w:sz w:val="24"/>
                <w:szCs w:val="24"/>
                <w:lang w:eastAsia="id-ID"/>
                <w14:textFill>
                  <w14:solidFill>
                    <w14:schemeClr w14:val="tx1"/>
                  </w14:solidFill>
                </w14:textFill>
              </w:rPr>
              <w:t xml:space="preserve"> dan</w:t>
            </w:r>
            <w:r>
              <w:rPr>
                <w:rFonts w:hint="default" w:ascii="Arial" w:hAnsi="Arial"/>
                <w:b/>
                <w:bCs/>
                <w:color w:val="000000" w:themeColor="text1"/>
                <w:sz w:val="24"/>
                <w:szCs w:val="24"/>
                <w:lang w:eastAsia="id-ID"/>
                <w14:textFill>
                  <w14:solidFill>
                    <w14:schemeClr w14:val="tx1"/>
                  </w14:solidFill>
                </w14:textFill>
              </w:rPr>
              <w:t xml:space="preserve"> Pendekatan Saintifik</w:t>
            </w:r>
            <w:r>
              <w:rPr>
                <w:rFonts w:hint="default" w:ascii="Arial" w:hAnsi="Arial"/>
                <w:color w:val="000000" w:themeColor="text1"/>
                <w:sz w:val="24"/>
                <w:szCs w:val="24"/>
                <w:lang w:eastAsia="id-ID"/>
                <w14:textFill>
                  <w14:solidFill>
                    <w14:schemeClr w14:val="tx1"/>
                  </w14:solidFill>
                </w14:textFill>
              </w:rPr>
              <w:t xml:space="preserve"> peserta didik dapat </w:t>
            </w:r>
            <w:r>
              <w:rPr>
                <w:rFonts w:hint="default" w:ascii="Arial" w:hAnsi="Arial"/>
                <w:color w:val="000000" w:themeColor="text1"/>
                <w:sz w:val="24"/>
                <w:szCs w:val="24"/>
                <w:lang w:val="en-US" w:eastAsia="id-ID"/>
                <w14:textFill>
                  <w14:solidFill>
                    <w14:schemeClr w14:val="tx1"/>
                  </w14:solidFill>
                </w14:textFill>
              </w:rPr>
              <w:t>m</w:t>
            </w:r>
            <w:bookmarkStart w:id="0" w:name="_GoBack"/>
            <w:bookmarkEnd w:id="0"/>
            <w:r>
              <w:rPr>
                <w:rFonts w:hint="default" w:ascii="Arial" w:hAnsi="Arial"/>
                <w:color w:val="000000" w:themeColor="text1"/>
                <w:sz w:val="24"/>
                <w:szCs w:val="24"/>
                <w:lang w:eastAsia="id-ID"/>
                <w14:textFill>
                  <w14:solidFill>
                    <w14:schemeClr w14:val="tx1"/>
                  </w14:solidFill>
                </w14:textFill>
              </w:rPr>
              <w:t>eyakini al-Qur’an, Hadis dan ijtihad sebagai sumber hukum Islam, Menunjukkan perilaku ikhlas dan taat beribadah sebagai implemantasi pemahaman terhadap kedudukan al-Qur’an, Hadis, dan ijtihad sebagai sumber hukum Islam, Menganalisis kedudukan al-Qur’an, Hadis, dan ijtihad sebagai sumber hukum Islam dan Mendeskripsikan macam-macam sumber hukum Islam.</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Kedudukan al-Quran, al-Hadits, dan Ijtihad sebagai sumber hukum Islam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Kedudukan al-Quran, al-Hadits, dan Ijtihad sebagai sumber hukum Islam</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Kedudukan al-Quran, al-Hadits, dan Ijtihad sebagai sumber hukum Islam</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meminta peserta didik membuat resume (CREATIVITY) dengan bimbingan guru tentang point-point penting yang muncul dalam kegiatan pembelajaran tentang materi Kedudukan al-Quran, al-Hadits, dan Ijtihad sebagai sumber hukum Islam</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materi Kedudukan al-Quran, al-Hadits, dan Ijtihad sebagai sumber hukum Islam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539" w:leftChars="427" w:hanging="600"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540"/>
        </w:tabs>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5F51D899"/>
    <w:multiLevelType w:val="singleLevel"/>
    <w:tmpl w:val="5F51D89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06A16E9B"/>
    <w:rsid w:val="102964DC"/>
    <w:rsid w:val="130434FF"/>
    <w:rsid w:val="24283A4C"/>
    <w:rsid w:val="272E589A"/>
    <w:rsid w:val="289B5EE0"/>
    <w:rsid w:val="29B124C0"/>
    <w:rsid w:val="29BE5AB5"/>
    <w:rsid w:val="2D127F2E"/>
    <w:rsid w:val="31297329"/>
    <w:rsid w:val="316E1DA8"/>
    <w:rsid w:val="3B4A024C"/>
    <w:rsid w:val="3C2950E9"/>
    <w:rsid w:val="4D9000CC"/>
    <w:rsid w:val="55825C94"/>
    <w:rsid w:val="56B722DB"/>
    <w:rsid w:val="5F0E5579"/>
    <w:rsid w:val="65632232"/>
    <w:rsid w:val="6E995E05"/>
    <w:rsid w:val="6EED69AC"/>
    <w:rsid w:val="6F621160"/>
    <w:rsid w:val="733D2BE5"/>
    <w:rsid w:val="781210A9"/>
    <w:rsid w:val="79492F55"/>
    <w:rsid w:val="7B3C67DF"/>
    <w:rsid w:val="7CEA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2020-05-15T08:50:41Z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