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TRƯỜNG ĐẠI HỌC CÔNG NGHIỆP TP. HỒ CHÍ MINH</w:t>
        <w:br/>
        <w:t>KHOA CÔNG NGHỆ THÔNG TIN - BỘ MÔN HỆ THỐNG THÔNG TIN</w:t>
        <w:br/>
        <w:t>-------------------------------------</w:t>
        <w:br/>
        <w:br/>
      </w:r>
    </w:p>
    <w:p>
      <w:pPr>
        <w:jc w:val="center"/>
      </w:pPr>
      <w:r>
        <w:rPr>
          <w:b/>
          <w:color w:val="1E3A8A"/>
          <w:sz w:val="32"/>
        </w:rPr>
        <w:t>BÁO CÁO KẾT QUẢ NGHIÊN CỨU &amp; HUẤN LUYỆN MÔ HÌNH HỌC MÁY (MACHINE LEARNING)</w:t>
        <w:br/>
      </w:r>
    </w:p>
    <w:p>
      <w:pPr>
        <w:jc w:val="center"/>
      </w:pPr>
      <w:r>
        <w:rPr>
          <w:b/>
          <w:sz w:val="26"/>
        </w:rPr>
        <w:t>BÀI TOÁN DỰ BÁO NGUY CƠ CHẬM TRỄ XỬ LÝ HỒ SƠ VAY VỐN DOANH NGHIỆP NHỎ VÀ VỪA (SME)</w:t>
        <w:br/>
        <w:br/>
      </w:r>
    </w:p>
    <w:p>
      <w:pPr>
        <w:jc w:val="center"/>
      </w:pPr>
      <w:r>
        <w:rPr>
          <w:i/>
          <w:sz w:val="22"/>
        </w:rPr>
        <w:t>Sinh viên thực hiện: Lê Thị Yến Nhi - Voòng Thị Yến Trang | GVHD: TS. Ngô Hữu Dũng</w:t>
        <w:br/>
        <w:br/>
      </w:r>
    </w:p>
    <w:p>
      <w:pPr>
        <w:spacing w:before="280" w:after="120"/>
      </w:pPr>
      <w:r>
        <w:rPr>
          <w:b/>
          <w:color w:val="1E40AF"/>
          <w:sz w:val="26"/>
        </w:rPr>
        <w:t>1. MÔ TẢ BÀI TOÁN &amp; MỤC TIÊU ĐỊNH LƯỢNG</w:t>
      </w:r>
    </w:p>
    <w:p>
      <w:r>
        <w:t>Mục tiêu của bài toán là dự báo sớm nguy cơ một hồ sơ vay vốn doanh nghiệp nhỏ và vừa (SME) bị vượt quá thời hạn cam kết SLA quy định, đồng thời cung cấp các nguyên nhân giải thích cốt lõi (Explainability) để Quản lý chi nhánh chủ động can thiệp hoặc điều chuyển hồ sơ.</w:t>
      </w:r>
    </w:p>
    <w:p>
      <w:r>
        <w:t>• Dạng bài toán: Phân loại nhị phân (Binary Classification).</w:t>
        <w:br/>
        <w:t>• Nhãn mục tiêu Y = 1 (Trễ hạn SLA), Y = 0 (Đúng hạn SLA).</w:t>
      </w:r>
    </w:p>
    <w:p>
      <w:pPr>
        <w:spacing w:before="280" w:after="120"/>
      </w:pPr>
      <w:r>
        <w:rPr>
          <w:b/>
          <w:color w:val="1E40AF"/>
          <w:sz w:val="26"/>
        </w:rPr>
        <w:t>2. THÔNG TIN BỘ DỮ LIỆU THỰC NGHIỆM</w:t>
      </w:r>
    </w:p>
    <w:p>
      <w:r>
        <w:t>Bộ dữ liệu mô phỏng gồm 3.000 hồ sơ vay vốn SME được xây dựng dựa trên các quy tắc nghiệp vụ ngân hàng:</w:t>
      </w:r>
    </w:p>
    <w:p>
      <w:r>
        <w:t>• Tổng số mẫu: 3.000 hồ sơ (Tập Train: 2.400 mẫu, Tập Test: 600 mẫu).</w:t>
        <w:br/>
        <w:t>• Tỷ lệ lớp trễ hạn: 333 mẫu (11.10%) - Phù hợp với tỷ lệ thực tế khoảng 10-15% tại ngân hàng.</w:t>
        <w:br/>
        <w:t>• Tỷ lệ lớp đúng hạn: 2.667 mẫu (88.90%).</w:t>
        <w:br/>
        <w:t>• Danh mục 10 đặc trưng: Số tiền vay, Thời hạn vay, Loại vay, Ngành nghề kinh doanh, Số năm hoạt động, Doanh thu năm, Tỷ lệ Nợ/VCSH, Số lần yêu cầu bổ sung chứng từ, Tải công việc cán bộ, Thời gian công đoạn trước.</w:t>
      </w:r>
    </w:p>
    <w:p>
      <w:pPr>
        <w:spacing w:before="280" w:after="120"/>
      </w:pPr>
      <w:r>
        <w:rPr>
          <w:b/>
          <w:color w:val="1E40AF"/>
          <w:sz w:val="26"/>
        </w:rPr>
        <w:t>3. KẾT QUẢ SO SÁNH HIỆU NĂNG HAI MÔ HÌNH TRÊN TẬP KIỂM THỬ (TEST SET)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51"/>
        <w:gridCol w:w="2351"/>
        <w:gridCol w:w="2351"/>
        <w:gridCol w:w="2351"/>
      </w:tblGrid>
      <w:tr>
        <w:tc>
          <w:tcPr>
            <w:tcW w:type="dxa" w:w="2351"/>
            <w:shd w:fill="1E3A8A"/>
          </w:tcPr>
          <w:p>
            <w:r>
              <w:rPr>
                <w:b/>
                <w:color w:val="FFFFFF"/>
                <w:sz w:val="21"/>
              </w:rPr>
              <w:t>Chỉ số đánh giá</w:t>
            </w:r>
          </w:p>
        </w:tc>
        <w:tc>
          <w:tcPr>
            <w:tcW w:type="dxa" w:w="2351"/>
            <w:shd w:fill="1E3A8A"/>
          </w:tcPr>
          <w:p>
            <w:r>
              <w:rPr>
                <w:b/>
                <w:color w:val="FFFFFF"/>
                <w:sz w:val="21"/>
              </w:rPr>
              <w:t>Logistic Regression (Baseline)</w:t>
            </w:r>
          </w:p>
        </w:tc>
        <w:tc>
          <w:tcPr>
            <w:tcW w:type="dxa" w:w="2351"/>
            <w:shd w:fill="1E3A8A"/>
          </w:tcPr>
          <w:p>
            <w:r>
              <w:rPr>
                <w:b/>
                <w:color w:val="FFFFFF"/>
                <w:sz w:val="21"/>
              </w:rPr>
              <w:t>Random Forest (Đề xuất)</w:t>
            </w:r>
          </w:p>
        </w:tc>
        <w:tc>
          <w:tcPr>
            <w:tcW w:type="dxa" w:w="2351"/>
            <w:shd w:fill="1E3A8A"/>
          </w:tcPr>
          <w:p>
            <w:r>
              <w:rPr>
                <w:b/>
                <w:color w:val="FFFFFF"/>
                <w:sz w:val="21"/>
              </w:rPr>
              <w:t>Ý nghĩa thực tiễn</w:t>
            </w:r>
          </w:p>
        </w:tc>
      </w:tr>
      <w:tr>
        <w:tc>
          <w:tcPr>
            <w:tcW w:type="dxa" w:w="2351"/>
            <w:shd w:fill="F9FAFB"/>
          </w:tcPr>
          <w:p>
            <w:r>
              <w:rPr>
                <w:sz w:val="20"/>
              </w:rPr>
              <w:t>Accuracy (Độ chính xác)</w:t>
            </w:r>
          </w:p>
        </w:tc>
        <w:tc>
          <w:tcPr>
            <w:tcW w:type="dxa" w:w="2351"/>
            <w:shd w:fill="F9FAFB"/>
          </w:tcPr>
          <w:p>
            <w:r>
              <w:rPr>
                <w:sz w:val="20"/>
              </w:rPr>
              <w:t>96.67%</w:t>
            </w:r>
          </w:p>
        </w:tc>
        <w:tc>
          <w:tcPr>
            <w:tcW w:type="dxa" w:w="2351"/>
            <w:shd w:fill="F9FAFB"/>
          </w:tcPr>
          <w:p>
            <w:r>
              <w:rPr>
                <w:b/>
                <w:sz w:val="20"/>
              </w:rPr>
              <w:t>97.00%</w:t>
            </w:r>
          </w:p>
        </w:tc>
        <w:tc>
          <w:tcPr>
            <w:tcW w:type="dxa" w:w="2351"/>
            <w:shd w:fill="F9FAFB"/>
          </w:tcPr>
          <w:p>
            <w:r>
              <w:rPr>
                <w:sz w:val="20"/>
              </w:rPr>
              <w:t>Tỷ lệ dự đoán đúng trên toàn bộ hồ sơ</w:t>
            </w:r>
          </w:p>
        </w:tc>
      </w:tr>
      <w:tr>
        <w:tc>
          <w:tcPr>
            <w:tcW w:type="dxa" w:w="2351"/>
            <w:shd w:fill="FFFFFF"/>
          </w:tcPr>
          <w:p>
            <w:r>
              <w:rPr>
                <w:sz w:val="20"/>
              </w:rPr>
              <w:t>Precision (Độ chuẩn xác)</w:t>
            </w:r>
          </w:p>
        </w:tc>
        <w:tc>
          <w:tcPr>
            <w:tcW w:type="dxa" w:w="2351"/>
            <w:shd w:fill="FFFFFF"/>
          </w:tcPr>
          <w:p>
            <w:r>
              <w:rPr>
                <w:sz w:val="20"/>
              </w:rPr>
              <w:t>77.01%</w:t>
            </w:r>
          </w:p>
        </w:tc>
        <w:tc>
          <w:tcPr>
            <w:tcW w:type="dxa" w:w="2351"/>
            <w:shd w:fill="FFFFFF"/>
          </w:tcPr>
          <w:p>
            <w:r>
              <w:rPr>
                <w:b/>
                <w:sz w:val="20"/>
              </w:rPr>
              <w:t>82.67%</w:t>
            </w:r>
          </w:p>
        </w:tc>
        <w:tc>
          <w:tcPr>
            <w:tcW w:type="dxa" w:w="2351"/>
            <w:shd w:fill="FFFFFF"/>
          </w:tcPr>
          <w:p>
            <w:r>
              <w:rPr>
                <w:sz w:val="20"/>
              </w:rPr>
              <w:t>Giảm thiểu cảnh báo sai (báo động giả)</w:t>
            </w:r>
          </w:p>
        </w:tc>
      </w:tr>
      <w:tr>
        <w:tc>
          <w:tcPr>
            <w:tcW w:type="dxa" w:w="2351"/>
            <w:shd w:fill="F9FAFB"/>
          </w:tcPr>
          <w:p>
            <w:r>
              <w:rPr>
                <w:sz w:val="20"/>
              </w:rPr>
              <w:t>Recall (Độ nhạy)</w:t>
            </w:r>
          </w:p>
        </w:tc>
        <w:tc>
          <w:tcPr>
            <w:tcW w:type="dxa" w:w="2351"/>
            <w:shd w:fill="F9FAFB"/>
          </w:tcPr>
          <w:p>
            <w:r>
              <w:rPr>
                <w:sz w:val="20"/>
              </w:rPr>
              <w:t>100.00%</w:t>
            </w:r>
          </w:p>
        </w:tc>
        <w:tc>
          <w:tcPr>
            <w:tcW w:type="dxa" w:w="2351"/>
            <w:shd w:fill="F9FAFB"/>
          </w:tcPr>
          <w:p>
            <w:r>
              <w:rPr>
                <w:b/>
                <w:sz w:val="20"/>
              </w:rPr>
              <w:t>92.54%</w:t>
            </w:r>
          </w:p>
        </w:tc>
        <w:tc>
          <w:tcPr>
            <w:tcW w:type="dxa" w:w="2351"/>
            <w:shd w:fill="F9FAFB"/>
          </w:tcPr>
          <w:p>
            <w:r>
              <w:rPr>
                <w:sz w:val="20"/>
              </w:rPr>
              <w:t>Không bỏ sót các hồ sơ có nguy cơ chậm</w:t>
            </w:r>
          </w:p>
        </w:tc>
      </w:tr>
      <w:tr>
        <w:tc>
          <w:tcPr>
            <w:tcW w:type="dxa" w:w="2351"/>
            <w:shd w:fill="FFFFFF"/>
          </w:tcPr>
          <w:p>
            <w:r>
              <w:rPr>
                <w:sz w:val="20"/>
              </w:rPr>
              <w:t>F1-Score (Trung bình điều hòa)</w:t>
            </w:r>
          </w:p>
        </w:tc>
        <w:tc>
          <w:tcPr>
            <w:tcW w:type="dxa" w:w="2351"/>
            <w:shd w:fill="FFFFFF"/>
          </w:tcPr>
          <w:p>
            <w:r>
              <w:rPr>
                <w:sz w:val="20"/>
              </w:rPr>
              <w:t>87.01%</w:t>
            </w:r>
          </w:p>
        </w:tc>
        <w:tc>
          <w:tcPr>
            <w:tcW w:type="dxa" w:w="2351"/>
            <w:shd w:fill="FFFFFF"/>
          </w:tcPr>
          <w:p>
            <w:r>
              <w:rPr>
                <w:b/>
                <w:sz w:val="20"/>
              </w:rPr>
              <w:t>87.32%</w:t>
            </w:r>
          </w:p>
        </w:tc>
        <w:tc>
          <w:tcPr>
            <w:tcW w:type="dxa" w:w="2351"/>
            <w:shd w:fill="FFFFFF"/>
          </w:tcPr>
          <w:p>
            <w:r>
              <w:rPr>
                <w:sz w:val="20"/>
              </w:rPr>
              <w:t>Cân bằng tối ưu giữa Precision và Recall</w:t>
            </w:r>
          </w:p>
        </w:tc>
      </w:tr>
      <w:tr>
        <w:tc>
          <w:tcPr>
            <w:tcW w:type="dxa" w:w="2351"/>
            <w:shd w:fill="F9FAFB"/>
          </w:tcPr>
          <w:p>
            <w:r>
              <w:rPr>
                <w:sz w:val="20"/>
              </w:rPr>
              <w:t>ROC-AUC</w:t>
            </w:r>
          </w:p>
        </w:tc>
        <w:tc>
          <w:tcPr>
            <w:tcW w:type="dxa" w:w="2351"/>
            <w:shd w:fill="F9FAFB"/>
          </w:tcPr>
          <w:p>
            <w:r>
              <w:rPr>
                <w:sz w:val="20"/>
              </w:rPr>
              <w:t>99.82%</w:t>
            </w:r>
          </w:p>
        </w:tc>
        <w:tc>
          <w:tcPr>
            <w:tcW w:type="dxa" w:w="2351"/>
            <w:shd w:fill="F9FAFB"/>
          </w:tcPr>
          <w:p>
            <w:r>
              <w:rPr>
                <w:b/>
                <w:sz w:val="20"/>
              </w:rPr>
              <w:t>99.27%</w:t>
            </w:r>
          </w:p>
        </w:tc>
        <w:tc>
          <w:tcPr>
            <w:tcW w:type="dxa" w:w="2351"/>
            <w:shd w:fill="F9FAFB"/>
          </w:tcPr>
          <w:p>
            <w:r>
              <w:rPr>
                <w:sz w:val="20"/>
              </w:rPr>
              <w:t>Khả năng phân biệt xuất sắc giữa 2 lớp</w:t>
            </w:r>
          </w:p>
        </w:tc>
      </w:tr>
    </w:tbl>
    <w:p>
      <w:pPr>
        <w:spacing w:before="280" w:after="120"/>
      </w:pPr>
      <w:r>
        <w:rPr>
          <w:b/>
          <w:color w:val="1E40AF"/>
          <w:sz w:val="26"/>
        </w:rPr>
        <w:t>4. TẦM QUAN TRỌNG CỦA CÁC ĐẶC TRƯNG &amp; GIẢI THÍCH NGUYÊN NHÂN (XAI)</w:t>
      </w:r>
    </w:p>
    <w:p>
      <w:r>
        <w:t>Mô hình Random Forest cung cấp độ quan trọng của đặc trưng (Feature Importance), giải thích rõ các nguyên nhân cốt lõi gây chậm trễ:</w:t>
      </w:r>
    </w:p>
    <w:p>
      <w:r>
        <w:t>1. Số lần yêu cầu bổ sung chứng từ (supplement_count): 67.13% (Nguyên nhân lớn nhất, khi bổ sung &gt;= 2 lần xác suất trễ tăng vọt).</w:t>
        <w:br/>
        <w:t>2. Tải công việc của cán bộ phụ trách (officer_workload): 7.77% (Cán bộ phụ trách trên 10 hồ sơ thường bị quá tải).</w:t>
        <w:br/>
        <w:t>3. Doanh thu hàng năm của doanh nghiệp: 5.26%.</w:t>
        <w:br/>
        <w:t>4. Quy mô khoản vay: 4.81% (Khoản vay lớn cần soi xét kỹ).</w:t>
        <w:br/>
        <w:t>5. Thời gian tồn đọng ở công đoạn tiếp nhận: 3.75%.</w:t>
      </w:r>
    </w:p>
    <w:p>
      <w:pPr>
        <w:spacing w:before="280" w:after="120"/>
      </w:pPr>
      <w:r>
        <w:rPr>
          <w:b/>
          <w:color w:val="1E40AF"/>
          <w:sz w:val="26"/>
        </w:rPr>
        <w:t>5. KẾT LUẬN &amp; ĐÓNG GÓI TRIỂN KHAI</w:t>
      </w:r>
    </w:p>
    <w:p>
      <w:r>
        <w:t>• Mô hình Random Forest Classifier đã được lựa chọn và đóng gói thành công vào file: delay_model.joblib.</w:t>
        <w:br/>
        <w:t>• Dịch vụ ml-service (FastAPI) cung cấp endpoint POST /predict để NestJS Backend gọi tự động mỗi khi hồ sơ chuyển bước hoặc khi Quản lý chi nhánh theo dõi tiến độ.</w:t>
      </w:r>
    </w:p>
    <w:sectPr w:rsidR="00FC693F" w:rsidRPr="0006063C" w:rsidSect="00034616">
      <w:pgSz w:w="12240" w:h="15840"/>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