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 Display" w:hAnsi="Aptos Display" w:eastAsia="Microsoft YaHei"/>
          <w:b/>
          <w:color w:val="123359"/>
          <w:sz w:val="50"/>
        </w:rPr>
        <w:t>技术文档</w:t>
      </w:r>
    </w:p>
    <w:p>
      <w:pPr>
        <w:spacing w:after="260"/>
      </w:pPr>
      <w:r>
        <w:rPr>
          <w:color w:val="576C83"/>
          <w:sz w:val="20"/>
        </w:rPr>
        <w:t>VeraLane · 2026 FinTech Hackathon 深圳国际金融科技大赛</w:t>
      </w:r>
    </w:p>
    <w:p>
      <w:r>
        <w:t>版本：参赛原型交付稿 | 日期：2026-10-05 | 仓库：私有 GitHub yeniwu46-max/VeraLane</w:t>
      </w:r>
    </w:p>
    <w:p>
      <w:pPr>
        <w:pStyle w:val="Heading2"/>
      </w:pPr>
      <w:r>
        <w:t>1. 项目定位与边界</w:t>
      </w:r>
    </w:p>
    <w:p>
      <w:r>
        <w:t>VeraLane 是运行于本机的金融业务智能体原型。用户以自然语言表达查询或业务目标；解析器生成结构化草稿，服务端查询虚构账本并核对联系人、余额、规则和快照；需要变更时先展示授权内容，取得确认后才由确定性工具写入 SQLite 并返回回执。模型不拥有执行权限。</w:t>
      </w:r>
    </w:p>
    <w:p>
      <w:r>
        <w:t>当前默认 VERALANEMODELMODE=offline。DeepSeek 适配器仍可配置；2026-10-03 早期三条小样本请求均因 HTTP 401 退回本地规则。2026-10-05 获授权的隔离评测中，两条请求 HTTP 401，一条成功解析出转账意图与 300 元金额，但收款人和备注未核实。样本数量不足以衡量语言理解准确率，详细记录见模型评测记录。所有银行账户、卡、商品、交易、净值和验证码均为模拟数据；系统没有连接真实银行、支付机构、商户配送或真实身份验证服务。</w:t>
      </w:r>
    </w:p>
    <w:p>
      <w:pPr>
        <w:pStyle w:val="Heading2"/>
      </w:pPr>
      <w:r>
        <w:t>2. 系统架构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flowchart LR</w:t>
        <w:br/>
        <w:t xml:space="preserve">  U[浏览器用户] --&gt; F[React + TypeScript 页面]</w:t>
        <w:br/>
        <w:t xml:space="preserve">  F --&gt;|JSON /api| A[FastAPI 路由]</w:t>
        <w:br/>
        <w:t xml:space="preserve">  A --&gt; I[规则解析 / 可选 DeepSeek 适配器]</w:t>
        <w:br/>
        <w:t xml:space="preserve">  I --&gt; P[业务服务与有限计划]</w:t>
        <w:br/>
        <w:t xml:space="preserve">  P --&gt; G[授权 / 预留 / 验证控制]</w:t>
        <w:br/>
        <w:t xml:space="preserve">  G --&gt; T[SQLite 同事务账本、订单、任务、审计]</w:t>
        <w:br/>
        <w:t xml:space="preserve">  J[业务时钟调度器] --&gt; P</w:t>
        <w:br/>
        <w:t xml:space="preserve">  P --&gt; R[逐项结果、证据与回执]</w:t>
        <w:br/>
        <w:t xml:space="preserve">  R --&gt; F</w:t>
      </w:r>
    </w:p>
    <w:p>
      <w:r>
        <w:t>后端以 FastAPI + SQLite 实现。各场景模块通过 initschema(conn) 创建自己的表；资金执行在 BEGIN IMMEDIATE 写事务中提交，多人结算计划创建与逐笔授权在写事务中完成。提醒列表 GET 只读；显式 POST /api/reminders/refresh 在写事务中幂等生成到期续费与 AA 站内提醒，预约 AA 提醒则由业务时钟推进任务生成；转账日期提醒作为非资金事件纳入同一业务时钟，届期仅改为 due。概览中的模型预算状态使用 SQLite queryonly 只读快照；已超时请求在返回视图中按未知状态计算，不因查看页面改写记录或建表，后续写请求再持久化清理。后台任务每两秒先只读检查共享事件队列，没有到期事件时不申请写锁；发现到期事件后再进入原子写事务并复核。开发时 Vite /api 代理至 8000；演示构建后 FastAPI 只挂载 frontend/dist 静态目录，API 注册在静态挂载之前。部署脚本绑定 127.0.0.1，不面向公网。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97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agent.py / service.py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受限意图、离线回退、聊天路由、确认分发、转账/代扣/账单基础服务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insights.py / bill_preferences.py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确定性账单筛选、同期比较、异常线索、分类覆盖、预算与预测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subscription_intelligence.py / plans.py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代扣周期诊断、提醒、逐项取消以及有版本的支出优化任务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execution_controls.py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资金可用额、预留/消费/释放、红级挑战、验证和授权快照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aliases.py / recurring.py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用户确认的收款人别名、相似付款提示、有限周期和批量转账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transfer_reminders.py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单日期站内转账提醒、会话隔离、到期状态与取消/完成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aa_settlement.py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本地多人垫付净额计算、计划持久化与本人相关结算路径的逐笔授权执行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cards.py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虚构卡状态与实际模拟刷卡通道校验、申请/审批/发卡分态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life_tasks.py / jobs.py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固定白名单生日订单流程、业务事件排序与演示时钟推进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investments.py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固定虚构产品、风险问卷、申购持仓、赎回份额和到期结算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frontend/src/Panel.tsx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分场景列表/表单/证据窗口；OperationConfirm 统一授权确认及挑战 UI</w:t>
            </w:r>
          </w:p>
        </w:tc>
      </w:tr>
    </w:tbl>
    <w:p>
      <w:pPr>
        <w:spacing w:after="20"/>
      </w:pPr>
    </w:p>
    <w:p>
      <w:pPr>
        <w:pStyle w:val="Heading2"/>
      </w:pPr>
      <w:r>
        <w:t>3. 主要 API</w:t>
      </w:r>
    </w:p>
    <w:p>
      <w:r>
        <w:t>所有写接口接受 sessionid 并在服务端重新校验；会话 ID 当前只是任务隔离字段，不是身份认证凭据。完整 schema 可通过本机启动后的 /docs 查看。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路由前缀</w:t>
            </w:r>
          </w:p>
        </w:tc>
        <w:tc>
          <w:tcPr>
            <w:tcW w:type="dxa" w:w="4997"/>
            <w:shd w:fill="183B60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核心端点 / 能力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/api/chat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自然语言意图、规则回复、账单问答、带确认的分类修正/月度预算计划；支出目标会保存账单证据和计划，再通过 workflow 返回任务页、计划 ID 与原始表达供用户继续核对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/api/transfers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/prepare、联系人消歧、/recurring/ 有限周期、/batch/ 多收款人草稿/确认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/api/aa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/interpret、/preview、/prepare、收款单查询/关闭、显式模拟付款、/installments 分次回款、/requests/{request_id}/refund/prepare 回款退款；预览/建单可选择 itemized_items 按菜品分摊；多人结算支持 /settlements/preview、/prepare、保存计划查询和 /settlements/{settlement_id}/legs/{leg_id}/prepare 逐笔本人授权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/api/insights、/api/bills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账单问答/报告与 CSV、JSON 导出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/api/subscriptions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/diagnostics、/prepare-batch 与逐项协议取消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/api/reminders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GET 只读列表；POST /refresh 显式生成；POST /{reminder_id}/read 标记已读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/api/transfer-reminders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GET 会话提醒列表；POST /{id}/complete 标记处理；POST /{id}/cancel 取消站内提醒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/api/plans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支出计划预览、版本选择、授权准备、失效、执行与取消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/api/aliases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昵称解释、显式保存/删除草稿、丢弃旧授权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/api/cards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卡片快照、变更预览、模拟刷卡、申请、审批、发卡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/api/funds、/api/actions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资金状态、预留/释放准备、挑战生成与验证码核验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/api/life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商品目录、生日任务草稿、预留/取消、订单独立退款准备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/api/investments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风险问卷、产品筛选、组合查询、申购/赎回准备和自然语句解释</w:t>
            </w:r>
          </w:p>
        </w:tc>
      </w:tr>
      <w:tr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/api/bill-preferences</w:t>
            </w:r>
          </w:p>
        </w:tc>
        <w:tc>
          <w:tcPr>
            <w:tcW w:type="dxa" w:w="4997"/>
            <w:shd w:fill="F1F5F9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单笔归类覆盖、预算增改删、未来 30 天现金预测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/api/demo/events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查看共享演示时钟的本人事件并显式推进至全局下一事件</w:t>
            </w:r>
          </w:p>
        </w:tc>
      </w:tr>
    </w:tbl>
    <w:p>
      <w:pPr>
        <w:spacing w:after="20"/>
      </w:pPr>
    </w:p>
    <w:p>
      <w:pPr>
        <w:pStyle w:val="Heading2"/>
      </w:pPr>
      <w:r>
        <w:t>4. 核心算法与资金口径</w:t>
      </w:r>
    </w:p>
    <w:p>
      <w:pPr>
        <w:pStyle w:val="Heading3"/>
      </w:pPr>
      <w:r>
        <w:t>4.1 金额与比较</w:t>
      </w:r>
    </w:p>
    <w:p>
      <w:r>
        <w:t>账户金额全程用整数分计算，输入解析为十进制且拒绝超过两位小数、非有限值或越界值。账单报告按选定日期边界筛选，比较区间等长并截取到实际已覆盖日期；基期为零时不生成百分比。分类与异常均由服务端确定性规则计算，异常只是复核线索，不是欺诈判断。</w:t>
      </w:r>
    </w:p>
    <w:p>
      <w:r>
        <w:t>账单问答支持“上周”（完整周一至周日）及“最近/近/过去 N 天”（包含当前演示业务日，N 为 1–90）。这类窗口会与其前一段等长期间比较；更宽泛、越界或有歧义的时间表达会要求改写，不会扩大成全历史查询。账单洞察与转账历史都使用业务日期，而非操作系统日期。</w:t>
      </w:r>
    </w:p>
    <w:p>
      <w:r>
        <w:t>自然语言转账提醒仅接受一个明确日历日期（今天、明天、后天或年月日），写入会话隔离的提醒表，并返回任务中心入口；重复、模糊、条件或周期日期要求澄清。到期事件仅将提醒标记为 due，不创建金融 action、不调用资金工具、不更改余额；用户可在任务中心标记已处理或取消。提醒没有系统推送能力，不能指定提醒时刻。</w:t>
      </w:r>
    </w:p>
    <w:p>
      <w:r>
        <w:t>分类修正写入覆盖记录，保留原交易分类、修正前后值、原因和版本；不改源流水金额或方向。聊天分类修正只接受允许分类，并使用流水编号、商户/金额/日期或最近自然语言账单查询结果定位支出；若匹配多笔则返回候选，不生成写操作。流程咨询如“怎么把交易 tx-8 归类为差旅”只解释步骤，不生成或覆盖分类修改 action；明确的“把交易 tx-8 归类为差旅”才进入原确认流程。账单总览、洞察和预算读取有效分类。自然语言月度预算只接受唯一显式分类或明确的全部支出范围，绑定当前演示月份和该会话已有预算版本，仍通过黄级确认；不明确的范围与非当前月份不生成计划。预算仅用于对照，不冻结或划转资金。聊天还支持只读查询当前会话已保存预算，返回限额、已支出、剩余或超额及账单流水编号；未确认预算草稿不会显示为已保存预算，查询保留未完成的转账上下文。自然语言未来 30 天现金流查询逐项展示已确认预约转账和协议代扣估算。预估现金流区分账面余额、当前预留、单次及周期授权转账、已知协议扣费和待结算赎回；周期计划只计父授权、期次、金额、对象和窗口均符合快照的未来期次。代扣金额是估计，不视为已扣现金；AA 未收款不计为可用收入；已预留资金不会二次扣减可用额。</w:t>
      </w:r>
    </w:p>
    <w:p>
      <w:pPr>
        <w:pStyle w:val="Heading3"/>
      </w:pPr>
      <w:r>
        <w:t>4.2 AA 分摊</w:t>
      </w:r>
    </w:p>
    <w:p>
      <w:r>
        <w:t>AA 金额单位为分。系统仅创建请求，不从付款人账户扣款；自述垫付也不增加余额。支持均分、逐人手动金额、用户明确录入的非负整数比例，以及从自然语言中提取的显式逐人份数（例如“我一份、林悦两份”）。份数或百分比只有在覆盖本人和全部参与人、联系人均唯一且权重非全零时才预填；百分比目前仅自动识别整数值，且必须合计 100%；小数百分比、混合写法、歧义或缺项均要求用户手动核对，不推测权重。比例份额以整数分计算，按最大余数法分配余分，余数相同时按参与者顺序稳定处理；每人金额与分摊方式写入授权快照，并在确认时重算核对。手工份额必须覆盖参与人且合计等于总额。只有显式触发的模拟回款写收入交易。全额支付以请求 ID 唯一约束避免重复入账；分次支付以客户端幂等编号做唯一键，服务端在写入前核对联系人、收款请求、操作快照及个人/收款单剩余金额，并在同一 SQLite 写事务内增加余额、插入交易与回款记录、更新状态。收到部分金额时请求仍待收但回执标为“部分到账”；最后一期或付清余额更新为已到账。每一笔都保留独立交易编号。未结收款单在确认时显示提醒日期，业务演示日期三天后生成一条幂等站内提醒；推进共享演示时钟触发提醒，只提示打开 AA 核对实时余额，不发送消息。提醒会随单据状态显示待收、部分收取、已收齐或已关闭，且可标记已读。</w:t>
      </w:r>
    </w:p>
    <w:p>
      <w:r>
        <w:t>按菜品分摊允许最多 100 条明细，每条需有非空菜名、正金额和至少一位本次参与者；菜品金额之和必须等于垫付总额。用户可手动录入，或选择不超过 20 MB、2000 万像素的 JPEG/PNG/WebP 图片；浏览器本地缩放/压缩后，将不超过 900 KB 的 JPEG 发送到本机回环服务，由本机 RapidOCR 识别菜名、金额和小票总额候选。服务端在 multipart 解析前将该路由整个请求体限制在 900 KB 图片加 16 KB 表单头以内，并对有长度与分块请求都做限制，避免超限内容先进入 multipart 临时文件；通过限制的图片仅在内存中解码和推理，不落盘、不调用外部识别服务。模型输出是不可直接执行的草稿，用户必须核对每行、亲自选择参与人并保证金额合计匹配垫付总额。含多个金额的行不自动拆分，低置信度行不会成为候选。服务端按“本人优先、其余按确认后的联系人顺序”将每道菜金额均分到整数分，余分依序加一分，再汇总为个人份额。菜名、原金额、参与人和逐道分币结果写入授权快照；确认时重算并比对，收款单及明细弹窗保留菜品分摊回执。OCR 可能漏识、误识或错读小数，不能替代核对原票。</w:t>
      </w:r>
    </w:p>
    <w:p>
      <w:r>
        <w:t>已付清请求的每笔模拟到账均可单独准备部分或全额退款；必须引用该请求下的原收入流水，退款不得超过该笔流水剩余可退金额。服务端确认前及执行时都重读收款单、已验证联系人、到账流水和可退额；执行还检查可用余额（扣除预留），退款大于 ¥1,000 需要独立模拟强验证。确认后在同一写事务中借记余额、创建 AA 退款支出流水、保存退款记录并写审计；唯一 action ID 防重复入账。原收入与原消费流水保留，请求仍保持已付清，退款不会自动形成新应收或向联系人通知。账单净回款、净垫付按退款调整，退款仍可追溯到原到账流水。该流程只用于本地模拟，不访问付款人账户。</w:t>
      </w:r>
    </w:p>
    <w:p>
      <w:r>
        <w:t>多人垫付接受 2–8 位参与者与最多 100 笔明确付款记录。先把每笔金额转为整数分，再按参与者顺序分配均分余数；每人的净额为“累计实付 − 应摊”。债务人与债权人按固定顺序贪心抵消，输出净额一致的建议转账路径。黄色级确认保存不可变计划，执行时重算垫付、联系人指纹与路径。经过本人账户的路径分别创建单笔操作：本人付款复核可用余额、预留和当日转账累计，累计超过 ¥1,000 触发红级模拟强验证；本人收款也须独立确认后才记模拟收入。执行在同一 SQLite 写事务里更新本人余额、AA 结算交易和逐笔回执，重放复用原 action 结果。其他参与人之间的路径仅为线下建议，不代为转账、不标记已付，也不写入本人流水。计划状态仅说明本人相关路径已完成，不代表所有参与人真实结清。联系人必须来自本地已验证名单。</w:t>
      </w:r>
    </w:p>
    <w:p>
      <w:pPr>
        <w:pStyle w:val="Heading3"/>
      </w:pPr>
      <w:r>
        <w:t>4.3 代扣诊断和优化计划</w:t>
      </w:r>
    </w:p>
    <w:p>
      <w:r>
        <w:t>周期候选基于模拟交易商户、日期间隔和金额变化，结果保留原交易证据，并与实际保存的模拟协议分开显示。协议取消只停止模拟协议后续扣费，不推断商户会员退订或已扣费用退款。取消日期之后的同商户流水会作为复核线索；若流水与取消同日，由于账单日期粒度无法证明先后，单独标记为“先后不明”，请用户人工复核。支出优化最多串联查询变化、协议核实、用户选择、逐项取消；每次改变选择会增加版本并撤销旧待确认授权，目标未达会返回真实差额。比较期间没有流水或本期没有匹配流水时，后端计划摘要会明确提示无法解释变化原因；计划页显示比较区间、匹配笔数和可展开的覆盖范围/限制，避免把单月汇总误当成原因分析。只有存在基期证据时才展示变化金额及主要分类贡献。</w:t>
      </w:r>
    </w:p>
    <w:p>
      <w:pPr>
        <w:pStyle w:val="Heading3"/>
      </w:pPr>
      <w:r>
        <w:t>4.4 卡片和生日任务</w:t>
      </w:r>
    </w:p>
    <w:p>
      <w:r>
        <w:t>模拟卡状态、线上开关和日支付限额由刷卡执行工具检查；账户转账与代扣是独立通道，不受“锁卡”自动冻结。用户只说卡片找不到、遗失或不见时，系统不替用户决定临时锁卡还是正式挂失，而是展示两种影响并等待明确选择；选择后仍要生成操作预览，正式挂失需红级挑战，普通解锁不能恢复挂失卡。卡片操作解释器会将“怎么挂失/不要挂失/不要解锁”等流程咨询与拒绝表达拦在计划创建前，不新增操作，也不覆盖现有待确认操作；当前采用有限词法规则，未识别的表达仍需用户核对确认卡片。信用额度不等同可用现金；申请、固定规则模拟审批、模拟发卡是不同状态。</w:t>
      </w:r>
    </w:p>
    <w:p>
      <w:r>
        <w:t>生日流程只运行于四种白名单虚构商品。用户须明确日期、收货人称呼、虚构配送信息、商品和预算。确认先预留预算，订单价格/版本、执行日期和 10 分钟窗口被固化；订单取消退款是单独授权和单独流水，任务取消只释放未用预留。错过窗口不会假装下单成功。</w:t>
      </w:r>
    </w:p>
    <w:p>
      <w:pPr>
        <w:pStyle w:val="Heading3"/>
      </w:pPr>
      <w:r>
        <w:t>4.5 理财</w:t>
      </w:r>
    </w:p>
    <w:p>
      <w:r>
        <w:t>五题风险问卷按版本化分数分级，低承受能力限制最高级别；产品为虚构固定净值及风险等级。推荐条件含期限、赎回到账天数和匹配原因。申购手续费按分向上取整，份额精度为万分之一份并向下取整；使用资金预留工具原子扣款和记持仓。赎回立即冻结相应份额，净额按下一演示工作日 09:00 结算；调度时间检查避免当天 09:00 前到账。固定演示净值不是保证收益。</w:t>
      </w:r>
    </w:p>
    <w:p>
      <w:pPr>
        <w:pStyle w:val="Heading2"/>
      </w:pPr>
      <w:r>
        <w:t>5. 状态、授权与恢复</w:t>
      </w:r>
    </w:p>
    <w:p>
      <w:r>
        <w:t>风险分级阈值、challenge 状态机和源码/测试证据见权限分级实现说明。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查询/解析 → draft/needs_clarification → 固定工具校验 → awaiting_confirmation</w:t>
        <w:br/>
        <w:t xml:space="preserve">  →（红级挑战验证）→ 再核对余额/对象/价格/版本 → 同事务执行 → receipt</w:t>
      </w:r>
    </w:p>
    <w:p>
      <w:r>
        <w:t>关键动作在 actions 保存类型、会话、授权 tier、业务 payload、状态和实际 UTC 到期时间。执行时从数据库重读当前 action，校验会话、状态、过期时间和参数快照；当前时间等于到期时间时也拒绝执行。黄色操作需显式确认；红色操作须先完成与 action/session/payload hash 绑定的 3 分钟模拟挑战，然后仍需单独确认。已验证挑战允许正确重试以支持幂等，错误重试不会增加尝试数或撤销既有授权；重新签发挑战会撤销旧挑战。错误码仅在模拟页面展示；验证码由演示环境直接给出，不能视作真实身份验证。操作确认 10 分钟过期。</w:t>
      </w:r>
    </w:p>
    <w:p>
      <w:r>
        <w:t>转账意图解析前会识别“不要给联系人付款”等明确否定/取消表达。此类表达在同一写事务内清空当前会话的未完成转账草稿，将未确认转账 action 标记失效并撤销其挑战，随后写入不含原始消息的审计事件；因此此前展示的待确认操作不能再被确认执行。另将“提醒我明天给联系人转账”“不要忘记转账”“转账后提醒我核对回执”及“转账提醒”等提醒表达挡在意图解析前：明确说明当前不支持转账提醒，不生成或执行转账，也不改变已有草稿或待确认操作，避免将提醒误判为模糊预约或流水查询。流程咨询如“如何给林悦转账”不会创建操作；“怎么取消转账”不会撤销已有授权，并会说明未确认操作与已确认预约的安全取消方式。已确认的预约仍须到预约管理中单独撤销。识别基于有限词法规则，用户仍须核对确认卡片。</w:t>
      </w:r>
    </w:p>
    <w:p>
      <w:r>
        <w:t>订阅取消同样先判断明确拒绝、延后时间和流程咨询。“先别取消”会在单一写事务内清除取消补充上下文、使本会话未确认的单项/批量取消 action 失效并撤销关联挑战，不修改订阅协议；“下次扣款后再取消”等未来条件目前会被要求澄清，不会按立即取消执行；“怎么取消云影会员自动续费”等流程问题只说明安全办理方式，不创建或撤销 action，已有草稿和协议状态保持不变。明确的“现在取消云影会员”才生成待确认计划。该识别仍是有限词法规则，用户须核对操作卡片中的协议与生效影响。</w:t>
      </w:r>
    </w:p>
    <w:p>
      <w:r>
        <w:t>预算设置的教程问句如“怎么设置本月餐饮预算1500元”也与修改意图分离：系统说明需提供当前月份、类别和金额，并表示预算只会在确认后保存；教程问句不创建预算 action，也不会覆盖已有待确认预算操作。明确的“本月餐饮预算控制在1500元”才进入原有预览和确认流程。</w:t>
      </w:r>
    </w:p>
    <w:p>
      <w:r>
        <w:t>显式询问“转账记录/历史/是否转过/为何失败”或“本月给林悦付了多少钱”等内容会在意图模型之前进入只读流水查询分支，按当前模拟账户已入账的转账及 AA 结算流水筛选联系人显示名、完整手机号对应的已验证联系人及金额，并返回流水编号、日期和备注。过滤手机号时通过流水关联的授权 payload 中的联系人 ID 精确匹配；重名查询会显示授权记录里的掩码手机号。可解析“本月”“上个月”“今年”“去年”、明确年份/年月、YYYY-MM-DD、“上周”（周一至周日）及“最近/近/过去 N 天”（含业务当天，N 为 1–90）；更宽泛或越界的相对时间会要求澄清，避免退化为全历史查询。状态词只有组成疑问/原因表达时才触发历史查询，“成功后”这类未来条件不会吞掉新转账意图。该分支不创建 action、不改变余额，也不清除会话草稿；审计只保存筛选条件是否存在及命中的流水编号，不保存原始提问或手机号。流水仅能证明本地模拟账本已记账，不能证明外部收款到账；未入账操作的失败状态与原因不在流水中。无法关联授权联系人 ID 的旧流水不能按手机号精确定位。查询规则依赖显式转账/付款词与查询/状态词共现，词法覆盖范围有限。</w:t>
      </w:r>
    </w:p>
    <w:p>
      <w:r>
        <w:t>资金 helper 要求调用方持有写事务，不自行提交；预留等于减少可用额而不减少账面余额。任务子步骤写入交易、持仓、订单、计划状态和审计在同一 SQLite 事务内。技术异常会回滚；业务冲突按场景返回失败或逐项部分成功。重复确认返回已保存结果；订单/付款/退款唯一键阻止重复记账。超时后的恢复查询原操作 ID，不应创建新扣款授权。</w:t>
      </w:r>
    </w:p>
    <w:p>
      <w:r>
        <w:t>演示时钟和真实授权时间刻意分开：业务截止用 SQLite 的 democlock（默认 2026-09-30 09:00 +08:00）；确认/挑战 TTL 用实际 UTC。后台调度器每 2 秒扫描预约、周期转账、生日节点和赎回结算；手动推进共享时钟时先选择全局最早事件并处理同刻事件。</w:t>
      </w:r>
    </w:p>
    <w:p>
      <w:pPr>
        <w:pStyle w:val="Heading2"/>
      </w:pPr>
      <w:r>
        <w:t>6. 模型调用与 20 元预算</w:t>
      </w:r>
    </w:p>
    <w:p>
      <w:r>
        <w:t>DEEPSEEKAPIKEY 只应存在本机 .env。模式设为 offline 时即使配置密钥也不发出请求。切到 auto 才会尝试模型调用。适配器使用 JSON 输出、固定 schema、超时和并发限制；模型结果仍由本地意图 schema 与业务工具复核。当前默认不联网是由于此前实测返回 401，遵从用户选择保持离线。</w:t>
      </w:r>
    </w:p>
    <w:p>
      <w:r>
        <w:t>模型调用前持久化保留调用额度，限制默认最多 200 次、20 万计入 token、2 个并发、768 输出 token、20 秒超时。平台输入/输出单价未配置前估价为空，不显示为零；预算是配置价格下的本地估算，不能代表 DeepSeek 账户实际余额，且不含启用本地账本前消费。超时或用量未知按保守规则记账/降级。</w:t>
      </w:r>
    </w:p>
    <w:p>
      <w:pPr>
        <w:pStyle w:val="Heading2"/>
      </w:pPr>
      <w:r>
        <w:t>7. 本地部署和复现</w:t>
      </w:r>
    </w:p>
    <w:p>
      <w:r>
        <w:t>Windows 需要 Python 3.11+、uv、Node.js 20.19+（或 22.12+）、npm：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.\scripts\run-demo.ps1</w:t>
      </w:r>
    </w:p>
    <w:p>
      <w:r>
        <w:t>默认只监听 127.0.0.1:8000，构建 React 后由 FastAPI 提供前端与 API。.env 不覆盖；首次没有配置文件时从 .env.example 复制。演示启动默认把 OpenBLAS、OMP 和 MKL 线程限制为 1，减少 OCR/NumPy 的线程与内存占用；可用 -BlasThreads 2 调整为 2（支持 1–16）。开发时分别运行 uv run --env-file ../.env uvicorn app.main:app --host 127.0.0.1 --port 8000 --reload 和 npm run dev。部署/源码步骤参照根目录 README。</w:t>
      </w:r>
    </w:p>
    <w:p>
      <w:r>
        <w:t>聊天工作台启动后每 10 秒只读检查一次本地 /api/health：可自动反映后端或核心模拟账本不可用与恢复，不刷新页面也能更新连接状态；账本缺失或核心表不可读时返回 HTTP 503。健康检查会确认模拟账户存在且核心账户/联系人/交易表可读，不统计余额或读取交易明细；断连后恢复时会重新读取概览和联系人，并清除对应的启动连接错误，其他业务错误不会被自动清掉。健康检查不触发模型调用。</w:t>
      </w:r>
    </w:p>
    <w:p>
      <w:r>
        <w:t>账单默认保留近期演示交易。需要展示跨年比较时，可停止服务、备份当前数据库，再运行 uv run --frozen --env-file ../.env python -m app.demohistory --database ..\data\veralane.sqlite3 --confirm-fictional-history。该显式工具向指定的已初始化数据库追加 32 笔 2025-12 至 2026-07 的虚构历史交易；不调整余额，不删除已有交易，可重复运行而不重复插入。若配置了其他 VERALANEDBPATH，命令行目标须与之相同。</w:t>
      </w:r>
    </w:p>
    <w:p>
      <w:r>
        <w:t>TrustedHostMiddleware 对所有请求限制 Host 为 localhost、127.0.0.1 或 [::1]，避免外站域名通过 DNS 重绑定读取本机 API。所有带浏览器 Origin 的写请求再经过来源检查：只允许本地开发 UI 的固定来源，或 localhost/回环地址上的当前同源请求；跨站写请求返回 403。无 Origin 的命令行与服务端调用仍可使用 API，因此来源校验不是身份认证或完整 CSRF 解决方案。CORS 白名单与服务端来源检查保持相同的本地开发 UI 范围。</w:t>
      </w:r>
    </w:p>
    <w:p>
      <w:r>
        <w:t>最外层 ASGI 响应包装器对正常页面/API、404 和框架生成的 500 响应统一添加 CSP（仅同源脚本与连接、禁止对象和嵌入）、nosniff、X-Frame-Options: DENY、Referrer Policy 与限制性 Permissions Policy。为动态图表和聊天面板尺寸样式保留 inline style。HTTPS 请求添加 HSTS；云端 Nginx 对 HTTPS 响应也添加 HSTS 并在转发前要求共享 Basic Auth。本机默认 HTTP 仍无传输加密；云端 Basic Auth 不是应用级认证，不能连接真实账户或处理真实交易。</w:t>
      </w:r>
    </w:p>
    <w:p>
      <w:r>
        <w:t>运行全量验证：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.\scripts\verify.ps1</w:t>
      </w:r>
    </w:p>
    <w:p>
      <w:r>
        <w:t>验证结果记录在 全阶段执行记录；联网模型失败样本在 model-evaluation.json。端到端 GUI 证据在 docs/screenshots/。</w:t>
      </w:r>
    </w:p>
    <w:p>
      <w:pPr>
        <w:pStyle w:val="Heading2"/>
      </w:pPr>
      <w:r>
        <w:t>8. 重要设计取舍</w:t>
      </w:r>
    </w:p>
    <w:p>
      <w:pPr>
        <w:pStyle w:val="ListBullet"/>
      </w:pPr>
      <w:r>
        <w:t>选择 SQLite 本地单节点以让个人参赛者容易复现，并能原子验证状态机；它不适用于多实例生产服务。</w:t>
      </w:r>
    </w:p>
    <w:p>
      <w:pPr>
        <w:pStyle w:val="ListBullet"/>
      </w:pPr>
      <w:r>
        <w:t>选择有限业务工具与显式计划，而不是给模型自由 SQL/代码/任意函数，便于对照授权快照和可复算金额。</w:t>
      </w:r>
    </w:p>
    <w:p>
      <w:pPr>
        <w:pStyle w:val="ListBullet"/>
      </w:pPr>
      <w:r>
        <w:t>用户偏好与别名需显式保存且绑定当前会话；不从账单备注推断亲属/关系或记忆。</w:t>
      </w:r>
    </w:p>
    <w:p>
      <w:pPr>
        <w:pStyle w:val="ListBullet"/>
      </w:pPr>
      <w:r>
        <w:t>业务日期可控让预约与未来事件可演示；重要的是推进按全局最早事件并明确提示可能执行授权事项。</w:t>
      </w:r>
    </w:p>
    <w:p>
      <w:pPr>
        <w:pStyle w:val="ListBullet"/>
      </w:pPr>
      <w:r>
        <w:t>真实认证、银行连接器、合法合规适当性、商户真实下单、灾备、密钥轮换、监控、审计留存周期和多用户隔离均不在此原型范围。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C8C"/>
        <w:sz w:val="16"/>
      </w:rPr>
      <w:t>VeraLane · 竞赛原型 · 仅供受控演示 ·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Microsoft YaHei"/>
      <w:color w:val="1F2D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35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55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671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