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E2023">
      <w:pPr>
        <w:spacing w:before="320" w:after="80" w:line="264" w:lineRule="auto"/>
      </w:pPr>
      <w:r>
        <w:rPr>
          <w:rFonts w:ascii="微软雅黑" w:hAnsi="微软雅黑" w:eastAsia="微软雅黑"/>
          <w:b/>
          <w:color w:val="000000"/>
          <w:sz w:val="44"/>
        </w:rPr>
        <w:t>参加挑战赛理由及作品亮点</w:t>
      </w:r>
    </w:p>
    <w:p w14:paraId="1F08F1F5">
      <w:pPr>
        <w:pStyle w:val="3"/>
        <w:spacing w:before="320" w:after="160" w:line="264" w:lineRule="auto"/>
      </w:pPr>
      <w:r>
        <w:rPr>
          <w:rFonts w:ascii="微软雅黑" w:hAnsi="微软雅黑" w:eastAsia="微软雅黑"/>
          <w:b/>
          <w:color w:val="2E74B5"/>
          <w:sz w:val="32"/>
        </w:rPr>
        <w:t>一、参加挑战赛理由</w:t>
      </w:r>
    </w:p>
    <w:p w14:paraId="1F763346">
      <w:pPr>
        <w:pStyle w:val="4"/>
        <w:spacing w:before="240" w:after="120" w:line="264" w:lineRule="auto"/>
      </w:pPr>
      <w:r>
        <w:rPr>
          <w:rFonts w:ascii="微软雅黑" w:hAnsi="微软雅黑" w:eastAsia="微软雅黑"/>
          <w:b/>
          <w:color w:val="2E74B5"/>
          <w:sz w:val="26"/>
        </w:rPr>
        <w:t>1. 赛题方向与作品定位高度一致</w:t>
      </w:r>
    </w:p>
    <w:p w14:paraId="49D6CD12">
      <w:pPr>
        <w:spacing w:before="0" w:after="120" w:line="264" w:lineRule="auto"/>
      </w:pPr>
      <w:r>
        <w:rPr>
          <w:rFonts w:ascii="微软雅黑" w:hAnsi="微软雅黑" w:eastAsia="微软雅黑"/>
          <w:color w:val="182434"/>
        </w:rPr>
        <w:t>A3 赛题要求参赛团队面向高等教育场景，利用大模型和多智能体技术解决“学习资源多而杂、学生差异大、个性化指导不足、学习效果难量化”的问题。PLEX 的产品目标正是把传统教学平台从“资源陈列与任务发布”升级为“画像驱动、资源自动生成、路径动态调整、教师可审核”的智能学习系统。</w:t>
      </w:r>
    </w:p>
    <w:p w14:paraId="2ED8BBEC">
      <w:pPr>
        <w:spacing w:before="0" w:after="120" w:line="264" w:lineRule="auto"/>
      </w:pPr>
      <w:r>
        <w:rPr>
          <w:rFonts w:ascii="微软雅黑" w:hAnsi="微软雅黑" w:eastAsia="微软雅黑"/>
          <w:color w:val="182434"/>
        </w:rPr>
        <w:t>作品已围绕学生端、教师端和管理端形成三类工作台：学生完成每日委托、试炼与个性化资源学习；教师查看班级热力图、学生档案、试炼表现与资源审核；管理员维护平台策略、AI 策略、通知开关和安全配置。这一结构与赛题中“学生个体学习需求 + 高校课程资源 + 多智能体协作”的业务场景具有直接对应关系。</w:t>
      </w:r>
    </w:p>
    <w:p w14:paraId="08BA1F63">
      <w:pPr>
        <w:pStyle w:val="4"/>
        <w:spacing w:before="240" w:after="120" w:line="264" w:lineRule="auto"/>
      </w:pPr>
      <w:r>
        <w:rPr>
          <w:rFonts w:ascii="微软雅黑" w:hAnsi="微软雅黑" w:eastAsia="微软雅黑"/>
          <w:b/>
          <w:color w:val="2E74B5"/>
          <w:sz w:val="26"/>
        </w:rPr>
        <w:t>2. 挑战赛是补齐初赛短板、提升完整度的关键机会</w:t>
      </w:r>
    </w:p>
    <w:p w14:paraId="36BB0360">
      <w:pPr>
        <w:spacing w:before="0" w:after="120" w:line="264" w:lineRule="auto"/>
      </w:pPr>
      <w:r>
        <w:rPr>
          <w:rFonts w:ascii="微软雅黑" w:hAnsi="微软雅黑" w:eastAsia="微软雅黑"/>
          <w:color w:val="182434"/>
        </w:rPr>
        <w:t>初赛版本已经具备用户认证、三端路由、学习任务、试炼、成就激励、画像接口、资源生成任务和教师审核等工程基础，但对照挑战赛提交要求与评分项，仍需要把若干能力从“已有后端或文档说明”推进到“评委可以直接看到、直接操作、直接理解”的状态。</w:t>
      </w:r>
    </w:p>
    <w:p w14:paraId="41A46C52">
      <w:pPr>
        <w:spacing w:before="0" w:after="120" w:line="264" w:lineRule="auto"/>
      </w:pPr>
      <w:r>
        <w:rPr>
          <w:rFonts w:ascii="微软雅黑" w:hAnsi="微软雅黑" w:eastAsia="微软雅黑"/>
          <w:color w:val="182434"/>
        </w:rPr>
        <w:t>本次参加挑战赛的核心目的不是推倒重来，而是在原有系统基础上集中优化四类内容：补齐 PPT、演示视频、报名表和说明文档等提交材料；强化流式输出、Markdown 渲染、多模态卡片等现代 AI 产品体验；完善画像对话、资源生成、路径推送、试炼反馈之间的前端走查链路；将本地确定性验收、外部模型接入边界和 AI Coding 工具使用情况写清楚。</w:t>
      </w:r>
    </w:p>
    <w:p w14:paraId="61AA5CA4">
      <w:pPr>
        <w:pStyle w:val="4"/>
        <w:spacing w:before="240" w:after="120" w:line="264" w:lineRule="auto"/>
      </w:pPr>
      <w:r>
        <w:rPr>
          <w:rFonts w:ascii="微软雅黑" w:hAnsi="微软雅黑" w:eastAsia="微软雅黑"/>
          <w:b/>
          <w:color w:val="2E74B5"/>
          <w:sz w:val="26"/>
        </w:rPr>
        <w:t>3. 作品具备继续竞争的工程基础</w:t>
      </w:r>
    </w:p>
    <w:p w14:paraId="22011F16">
      <w:pPr>
        <w:spacing w:before="0" w:after="120" w:line="264" w:lineRule="auto"/>
      </w:pPr>
      <w:r>
        <w:rPr>
          <w:rFonts w:ascii="微软雅黑" w:hAnsi="微软雅黑" w:eastAsia="微软雅黑"/>
          <w:color w:val="182434"/>
        </w:rPr>
        <w:t>PLEX 已经完成 Vue 3 + Vite + Naive UI + Pinia + Axios 前端工程，Flask + SQLAlchemy + JWT 后端工程，以及本地 SQLite / 生产 MySQL 的可切换数据基础。API 统一采用 /api/v1 前缀和 REST JSON 响应格式，核心页面围绕学生、教师、管理员三端隔离建设，能够支撑挑战赛要求的可运行作品提交。</w:t>
      </w:r>
    </w:p>
    <w:p w14:paraId="648FBF4C">
      <w:pPr>
        <w:spacing w:before="0" w:after="120" w:line="264" w:lineRule="auto"/>
      </w:pPr>
      <w:r>
        <w:rPr>
          <w:rFonts w:ascii="微软雅黑" w:hAnsi="微软雅黑" w:eastAsia="微软雅黑"/>
          <w:color w:val="182434"/>
        </w:rPr>
        <w:t>从功能侧看，系统已经具备学生首页、探索舱、今日委托、试炼参与、探索档案、星轨路径、教师领航总览、星域观测、Explorer 档案、试炼中枢和控制中枢等模块。挑战赛阶段可以在此基础上重点打磨个性化学习链路和演示叙事，而不需要从零搭建基础管理系统。</w:t>
      </w:r>
    </w:p>
    <w:p w14:paraId="7035CCEE">
      <w:pPr>
        <w:pStyle w:val="4"/>
        <w:spacing w:before="240" w:after="120" w:line="264" w:lineRule="auto"/>
      </w:pPr>
      <w:r>
        <w:rPr>
          <w:rFonts w:ascii="微软雅黑" w:hAnsi="微软雅黑" w:eastAsia="微软雅黑"/>
          <w:b/>
          <w:color w:val="2E74B5"/>
          <w:sz w:val="26"/>
        </w:rPr>
        <w:t>4. 参赛有助于展示“因材施教”的数字化落地价值</w:t>
      </w:r>
    </w:p>
    <w:p w14:paraId="67D8D242">
      <w:pPr>
        <w:spacing w:before="0" w:after="120" w:line="264" w:lineRule="auto"/>
      </w:pPr>
      <w:r>
        <w:rPr>
          <w:rFonts w:ascii="微软雅黑" w:hAnsi="微软雅黑" w:eastAsia="微软雅黑"/>
          <w:color w:val="182434"/>
        </w:rPr>
        <w:t>高等教育中的编程学习差异明显：学生的知识基础、学习目标、认知方式、易错点、实践经验和学习节奏并不相同。传统平台通常只能提供统一课程资源，难以及时回答“这个学生现在该学什么、为什么这样推荐、学完后是否真的提升”。</w:t>
      </w:r>
    </w:p>
    <w:p w14:paraId="437CFC23">
      <w:pPr>
        <w:spacing w:before="0" w:after="120" w:line="264" w:lineRule="auto"/>
      </w:pPr>
      <w:r>
        <w:rPr>
          <w:rFonts w:ascii="微软雅黑" w:hAnsi="微软雅黑" w:eastAsia="微软雅黑"/>
          <w:color w:val="182434"/>
        </w:rPr>
        <w:t>PLEX 希望通过可解释画像、多智能体资源生产、教师审核和学习效果评估，把“因材施教”落到可操作的软件流程中。挑战赛提供了一个把教育业务价值、AI 技术融合和工程实现质量集中呈现的机会。</w:t>
      </w:r>
    </w:p>
    <w:p w14:paraId="0F8AD433">
      <w:pPr>
        <w:pStyle w:val="3"/>
        <w:spacing w:before="320" w:after="160" w:line="264" w:lineRule="auto"/>
      </w:pPr>
      <w:r>
        <w:rPr>
          <w:rFonts w:ascii="微软雅黑" w:hAnsi="微软雅黑" w:eastAsia="微软雅黑"/>
          <w:b/>
          <w:color w:val="2E74B5"/>
          <w:sz w:val="32"/>
        </w:rPr>
        <w:t>二、作品亮点</w:t>
      </w:r>
    </w:p>
    <w:p w14:paraId="5B7440D9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color w:val="182434"/>
        </w:rPr>
        <w:t>对话式学生画像，支撑真正的个性化入口：系统围绕学生画像构建个性化学习入口，画像维度覆盖知识基础、学习目标、认知风格、学习偏好、学历或专业背景、兴趣方向、易错点与学习进度等信息，满足赛题“不少于 6 个维度”的要求。画像既可以来自学生自然语言对话，也可以结合错题、试炼、每日委托和学习报告等行为证据持续更新。</w:t>
      </w:r>
    </w:p>
    <w:p w14:paraId="2F98E9F0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color w:val="182434"/>
        </w:rPr>
        <w:t>多智能体协作生产资源，过程可追踪、结果可审核：作品将资源生成拆解为画像解释、知识检索、教学设计、资源生成、质量审核和路径规划等角色。每个智能体消费上一步结构化结果，并记录任务状态、实际后端、耗时、失败原因和审核摘要，避免把复杂教育资源生成包装成不可解释的黑盒。</w:t>
      </w:r>
    </w:p>
    <w:p w14:paraId="555C071B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color w:val="182434"/>
        </w:rPr>
        <w:t>至少五类资源与多模态呈现，覆盖不同学习方式：系统围绕 Python 程序设计基础知识库和学生画像生成差异化资源，重点覆盖课程讲解文档、知识点图谱或思维导图、分层练习题、拓展阅读材料、代码实践案例，并在挑战赛版本强化语音讲解、短视频脚本或视频卡片、答疑图解等多模态呈现方式。</w:t>
      </w:r>
    </w:p>
    <w:p w14:paraId="6F72AE7D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color w:val="182434"/>
        </w:rPr>
        <w:t>学习路径、试炼与评价闭环完整：PLEX 的学生端以探索舱、今日委托、星轨路径、试炼、探索档案组织学习过程。教师发布试炼后，学生可以在探索舱和今日委托中收到题目；补给站紧急任务会根据薄弱知识点生成练习；星轨路径覆盖语言基础、算法基础、动态规划、计算几何、图论、数据结构等学域，并支持知识点级导航。</w:t>
      </w:r>
    </w:p>
    <w:p w14:paraId="1011644A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color w:val="182434"/>
        </w:rPr>
        <w:t>三端协同，适合真实高校课程使用：学生端关注学习任务、个性化资源、路径推进和激励反馈；教师端关注班级热力图、学生档案、风险学生、试炼发布和资源审核；管理端关注平台规则、AI 策略、通知、安全和数据配置。三端通过统一 API 和权限控制协作，既能服务学生个体学习，也能服务教师班级管理。</w:t>
      </w:r>
    </w:p>
    <w:p w14:paraId="0F536D1A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color w:val="182434"/>
        </w:rPr>
        <w:t>工程实现规范，提交材料边界清楚：作品采用前后端分离架构，前端为 Vue 3 + Vite + Naive UI，后端为 Flask + SQLAlchemy，认证采用 JWT，API 返回统一 JSON 结构。本地开发可使用 SQLite，生产环境建议 MySQL。系统提供测试账号、种子数据脚本、启动脚本和接口文档，便于评委复现核心流程。</w:t>
      </w:r>
    </w:p>
    <w:p w14:paraId="50682722">
      <w:pPr>
        <w:pStyle w:val="3"/>
        <w:spacing w:before="320" w:after="160" w:line="264" w:lineRule="auto"/>
      </w:pPr>
      <w:r>
        <w:rPr>
          <w:rFonts w:ascii="微软雅黑" w:hAnsi="微软雅黑" w:eastAsia="微软雅黑"/>
          <w:b/>
          <w:color w:val="2E74B5"/>
          <w:sz w:val="32"/>
        </w:rPr>
        <w:t>三、与评分项的对应关系</w:t>
      </w:r>
    </w:p>
    <w:tbl>
      <w:tblPr>
        <w:tblStyle w:val="32"/>
        <w:tblW w:w="0" w:type="auto"/>
        <w:tblInd w:w="0" w:type="dxa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EDDF03C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8DDE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评分项</w:t>
            </w:r>
          </w:p>
        </w:tc>
        <w:tc>
          <w:tcPr>
            <w:tcW w:w="68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EF4F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作品对应亮点</w:t>
            </w:r>
          </w:p>
        </w:tc>
      </w:tr>
      <w:tr w14:paraId="7000935A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925CE8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182434"/>
                <w:sz w:val="20"/>
              </w:rPr>
              <w:t>创新价值与实用性</w:t>
            </w:r>
          </w:p>
        </w:tc>
        <w:tc>
          <w:tcPr>
            <w:tcW w:w="4680" w:type="dxa"/>
          </w:tcPr>
          <w:p w14:paraId="7199261A">
            <w:pPr>
              <w:spacing w:after="0"/>
              <w:jc w:val="left"/>
            </w:pPr>
            <w:r>
              <w:rPr>
                <w:rFonts w:ascii="微软雅黑" w:hAnsi="微软雅黑" w:eastAsia="微软雅黑"/>
                <w:color w:val="182434"/>
                <w:sz w:val="20"/>
              </w:rPr>
              <w:t>将对话画像、多智能体资源生成、教师审核、学习路径和效果评估整合成高校编程课程的完整学习闭环，解决资源匹配和个性化指导不足的问题。</w:t>
            </w:r>
          </w:p>
        </w:tc>
      </w:tr>
      <w:tr w14:paraId="62A95AE4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DF4428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182434"/>
                <w:sz w:val="20"/>
              </w:rPr>
              <w:t>功能实现及技术要求</w:t>
            </w:r>
          </w:p>
        </w:tc>
        <w:tc>
          <w:tcPr>
            <w:tcW w:w="4680" w:type="dxa"/>
          </w:tcPr>
          <w:p w14:paraId="5B07283D">
            <w:pPr>
              <w:spacing w:after="0"/>
              <w:jc w:val="left"/>
            </w:pPr>
            <w:r>
              <w:rPr>
                <w:rFonts w:ascii="微软雅黑" w:hAnsi="微软雅黑" w:eastAsia="微软雅黑"/>
                <w:color w:val="182434"/>
                <w:sz w:val="20"/>
              </w:rPr>
              <w:t>已具备学生、教师、管理三端；支持画像、资源任务、试炼、星轨路径、班级观察、权限控制、统一 API、JWT 认证和可切换数据库基础。</w:t>
            </w:r>
          </w:p>
        </w:tc>
      </w:tr>
      <w:tr w14:paraId="11C00403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CACCF0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182434"/>
                <w:sz w:val="20"/>
              </w:rPr>
              <w:t>配套文档丰富度</w:t>
            </w:r>
          </w:p>
        </w:tc>
        <w:tc>
          <w:tcPr>
            <w:tcW w:w="4680" w:type="dxa"/>
          </w:tcPr>
          <w:p w14:paraId="67C29017">
            <w:pPr>
              <w:spacing w:after="0"/>
              <w:jc w:val="left"/>
            </w:pPr>
            <w:r>
              <w:rPr>
                <w:rFonts w:ascii="微软雅黑" w:hAnsi="微软雅黑" w:eastAsia="微软雅黑"/>
                <w:color w:val="182434"/>
                <w:sz w:val="20"/>
              </w:rPr>
              <w:t>已整理需求说明、系统设计、多智能体设计、知识库与评测、测试说明、部署说明、用户手册、开源与 AI 工具说明等配套材料。</w:t>
            </w:r>
          </w:p>
        </w:tc>
      </w:tr>
      <w:tr w14:paraId="20726D70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EF80E5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182434"/>
                <w:sz w:val="20"/>
              </w:rPr>
              <w:t>演示视频与 PPT 效果</w:t>
            </w:r>
          </w:p>
        </w:tc>
        <w:tc>
          <w:tcPr>
            <w:tcW w:w="4680" w:type="dxa"/>
          </w:tcPr>
          <w:p w14:paraId="0A8B5FB1">
            <w:pPr>
              <w:spacing w:after="0"/>
              <w:jc w:val="left"/>
            </w:pPr>
            <w:r>
              <w:rPr>
                <w:rFonts w:ascii="微软雅黑" w:hAnsi="微软雅黑" w:eastAsia="微软雅黑"/>
                <w:color w:val="182434"/>
                <w:sz w:val="20"/>
              </w:rPr>
              <w:t>挑战赛版本重点补齐演示材料，建议以“画像构建 -&gt; 资源生成 -&gt; 教师审核 -&gt; 路径推送 -&gt; 试炼反馈 -&gt; 效果评估”的故事线呈现。</w:t>
            </w:r>
          </w:p>
        </w:tc>
      </w:tr>
    </w:tbl>
    <w:p w14:paraId="65F3991A">
      <w:pPr>
        <w:spacing w:before="0" w:after="120" w:line="264" w:lineRule="auto"/>
      </w:pPr>
      <w:bookmarkStart w:id="0" w:name="_GoBack"/>
      <w:bookmarkEnd w:id="0"/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与墨 W04">
    <w:panose1 w:val="02020400000000000000"/>
    <w:charset w:val="80"/>
    <w:family w:val="auto"/>
    <w:pitch w:val="default"/>
    <w:sig w:usb0="80000023" w:usb1="1801004A" w:usb2="00000010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DB8D68">
    <w:pPr>
      <w:pStyle w:val="24"/>
      <w:jc w:val="right"/>
    </w:pPr>
    <w:r>
      <w:rPr>
        <w:rFonts w:ascii="微软雅黑" w:hAnsi="微软雅黑" w:eastAsia="微软雅黑"/>
        <w:color w:val="5C6877"/>
        <w:sz w:val="18"/>
      </w:rPr>
      <w:t>PLEX Universe 挑战赛提交材料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8C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2501</Words>
  <Characters>2677</Characters>
  <Lines>0</Lines>
  <Paragraphs>0</Paragraphs>
  <TotalTime>0</TotalTime>
  <ScaleCrop>false</ScaleCrop>
  <LinksUpToDate>false</LinksUpToDate>
  <CharactersWithSpaces>2779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PLEX 项目组</dc:creator>
  <dc:description>generated by python-docx</dc:description>
  <cp:lastModifiedBy>路径积分</cp:lastModifiedBy>
  <dcterms:modified xsi:type="dcterms:W3CDTF">2026-07-31T05:56:05Z</dcterms:modified>
  <dc:subject>PLEX Universe A3 挑战赛提交材料</dc:subject>
  <dc:title>参加挑战赛理由及作品亮点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eyJoZGlkIjoiODMzNTIwNzNhMDlkMTYzN2ZmZjJhMDg3NDhiMjQ4OTEiLCJ1c2VySWQiOiIxNjM5MTc0OTYzIn0=</vt:lpwstr>
  </property>
  <property fmtid="{D5CDD505-2E9C-101B-9397-08002B2CF9AE}" pid="3" name="KSOProductBuildVer">
    <vt:lpwstr>2052-12.1.0.26895</vt:lpwstr>
  </property>
  <property fmtid="{D5CDD505-2E9C-101B-9397-08002B2CF9AE}" pid="4" name="ICV">
    <vt:lpwstr>59B238FB6BE44E498B2E361780389FAB_12</vt:lpwstr>
  </property>
</Properties>
</file>